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96A450" w14:textId="77777777" w:rsidR="009E7A89" w:rsidRDefault="009E7A89" w:rsidP="009E7A89">
      <w:pPr>
        <w:pStyle w:val="Standard"/>
        <w:spacing w:line="276" w:lineRule="auto"/>
        <w:jc w:val="both"/>
        <w:rPr>
          <w:rFonts w:ascii="Noto Sans" w:hAnsi="Noto Sans" w:cs="Noto Sans"/>
          <w:b/>
          <w:bCs/>
          <w:sz w:val="22"/>
          <w:szCs w:val="22"/>
          <w:lang w:val="es-ES"/>
        </w:rPr>
      </w:pPr>
      <w:r>
        <w:rPr>
          <w:rFonts w:ascii="Noto Sans" w:hAnsi="Noto Sans" w:cs="Noto Sans"/>
          <w:b/>
          <w:bCs/>
          <w:sz w:val="22"/>
          <w:szCs w:val="22"/>
          <w:lang w:val="es-ES"/>
        </w:rPr>
        <w:t>Decreto por el que se regula el funcionamiento del Registro de Envasadores de Vinos y Bebidas Alcohólicas de las Illes Balears (REDIB)</w:t>
      </w:r>
    </w:p>
    <w:p w14:paraId="3C2A84E7" w14:textId="77777777" w:rsidR="009E7A89" w:rsidRDefault="009E7A89" w:rsidP="009E7A89">
      <w:pPr>
        <w:pStyle w:val="Standard"/>
        <w:spacing w:line="276" w:lineRule="auto"/>
        <w:jc w:val="both"/>
        <w:rPr>
          <w:lang w:val="es-ES"/>
        </w:rPr>
      </w:pPr>
    </w:p>
    <w:p w14:paraId="463964B7" w14:textId="77777777" w:rsidR="009E7A89" w:rsidRDefault="009E7A89" w:rsidP="009E7A89">
      <w:pPr>
        <w:pStyle w:val="Standard"/>
        <w:spacing w:line="276" w:lineRule="auto"/>
        <w:jc w:val="both"/>
        <w:rPr>
          <w:rFonts w:ascii="Noto Sans" w:hAnsi="Noto Sans" w:cs="Noto Sans"/>
          <w:b/>
          <w:bCs/>
          <w:sz w:val="22"/>
          <w:szCs w:val="22"/>
          <w:lang w:val="es-ES"/>
        </w:rPr>
      </w:pPr>
      <w:r>
        <w:rPr>
          <w:rFonts w:ascii="Noto Sans" w:hAnsi="Noto Sans" w:cs="Noto Sans"/>
          <w:b/>
          <w:bCs/>
          <w:sz w:val="22"/>
          <w:szCs w:val="22"/>
          <w:lang w:val="es-ES"/>
        </w:rPr>
        <w:t xml:space="preserve">PREÁMBULO  </w:t>
      </w:r>
    </w:p>
    <w:p w14:paraId="22D98F4F" w14:textId="77777777" w:rsidR="009E7A89" w:rsidRDefault="009E7A89" w:rsidP="009E7A89">
      <w:pPr>
        <w:pStyle w:val="Standard"/>
        <w:spacing w:line="276" w:lineRule="auto"/>
        <w:jc w:val="both"/>
        <w:rPr>
          <w:lang w:val="es-ES"/>
        </w:rPr>
      </w:pPr>
    </w:p>
    <w:p w14:paraId="0F5B807A" w14:textId="77777777" w:rsidR="009E7A89" w:rsidRDefault="009E7A89" w:rsidP="009E7A89">
      <w:pPr>
        <w:pStyle w:val="Standard"/>
        <w:spacing w:line="276" w:lineRule="auto"/>
        <w:jc w:val="both"/>
        <w:rPr>
          <w:rFonts w:ascii="Noto Sans" w:hAnsi="Noto Sans" w:cs="Noto Sans"/>
          <w:b/>
          <w:bCs/>
          <w:sz w:val="22"/>
          <w:szCs w:val="22"/>
          <w:lang w:val="es-ES"/>
        </w:rPr>
      </w:pPr>
      <w:r>
        <w:rPr>
          <w:rFonts w:ascii="Noto Sans" w:hAnsi="Noto Sans" w:cs="Noto Sans"/>
          <w:b/>
          <w:bCs/>
          <w:sz w:val="22"/>
          <w:szCs w:val="22"/>
          <w:lang w:val="es-ES"/>
        </w:rPr>
        <w:t>I</w:t>
      </w:r>
    </w:p>
    <w:p w14:paraId="445C7354" w14:textId="77777777" w:rsidR="009E7A89" w:rsidRDefault="009E7A89" w:rsidP="009E7A89">
      <w:pPr>
        <w:pStyle w:val="Standard"/>
        <w:spacing w:line="276" w:lineRule="auto"/>
        <w:jc w:val="both"/>
        <w:rPr>
          <w:lang w:val="es-ES"/>
        </w:rPr>
      </w:pPr>
    </w:p>
    <w:p w14:paraId="29C14166" w14:textId="77777777"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El Reglamento (CE) n.º 1308/2013 del Parlamento Europeo y del Consejo, de 17 de diciembre de 2013, por el que se crea la organización común de mercados de productos agrícolas y por la que se derogan los reglamentos (CEE) 992/72, (CEE) 234/79, (CE) 1037/2001 y (CE) 1234/2007, establece en el artículo 119 como mención obligatoria la indicación del embotellador en los productos vitícolas mencionados de los puntos 1 a 11, 13, 15 y 16 del apartado II del anexo VII del reglamento mencionado.</w:t>
      </w:r>
    </w:p>
    <w:p w14:paraId="75F69E66" w14:textId="77777777" w:rsidR="009E7A89" w:rsidRDefault="009E7A89" w:rsidP="009E7A89">
      <w:pPr>
        <w:pStyle w:val="Standard"/>
        <w:spacing w:line="276" w:lineRule="auto"/>
        <w:jc w:val="both"/>
        <w:rPr>
          <w:lang w:val="es-ES"/>
        </w:rPr>
      </w:pPr>
    </w:p>
    <w:p w14:paraId="11279FAD" w14:textId="77777777"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El Reglamento delegado (UE) 2019/33 de la Comisión de 17 de octubre de 2018, que completa el Reglamento (UE) 1308/2013, define en el artículo 46 el embotellador como la persona física o jurídica, o agrupación de estas personas, que embotelle vinos u ordene su embotellado bajo su responsabilidad.</w:t>
      </w:r>
    </w:p>
    <w:p w14:paraId="382563A0" w14:textId="77777777" w:rsidR="009E7A89" w:rsidRDefault="009E7A89" w:rsidP="009E7A89">
      <w:pPr>
        <w:pStyle w:val="Standard"/>
        <w:spacing w:line="276" w:lineRule="auto"/>
        <w:jc w:val="both"/>
        <w:rPr>
          <w:lang w:val="es-ES"/>
        </w:rPr>
      </w:pPr>
    </w:p>
    <w:p w14:paraId="0D6BB84F" w14:textId="77777777" w:rsidR="009E7A89" w:rsidRDefault="009E7A89" w:rsidP="009E7A89">
      <w:pPr>
        <w:pStyle w:val="Standard"/>
        <w:spacing w:line="276" w:lineRule="auto"/>
        <w:jc w:val="both"/>
        <w:rPr>
          <w:rFonts w:ascii="Noto Sans" w:hAnsi="Noto Sans" w:cs="Noto Sans"/>
          <w:b/>
          <w:bCs/>
          <w:sz w:val="22"/>
          <w:szCs w:val="22"/>
          <w:lang w:val="es-ES"/>
        </w:rPr>
      </w:pPr>
      <w:r>
        <w:rPr>
          <w:rFonts w:ascii="Noto Sans" w:hAnsi="Noto Sans" w:cs="Noto Sans"/>
          <w:b/>
          <w:bCs/>
          <w:sz w:val="22"/>
          <w:szCs w:val="22"/>
          <w:lang w:val="es-ES"/>
        </w:rPr>
        <w:t>II</w:t>
      </w:r>
    </w:p>
    <w:p w14:paraId="788A779A" w14:textId="77777777" w:rsidR="009E7A89" w:rsidRDefault="009E7A89" w:rsidP="009E7A89">
      <w:pPr>
        <w:pStyle w:val="Standard"/>
        <w:spacing w:line="276" w:lineRule="auto"/>
        <w:jc w:val="both"/>
        <w:rPr>
          <w:lang w:val="es-ES"/>
        </w:rPr>
      </w:pPr>
    </w:p>
    <w:p w14:paraId="731B4508" w14:textId="77777777"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En el ámbito estatal, el Registro de Envasadores y Embotelladores de Vinos y Bebidas Alcohólicas se creó mediante la Ley 25/1970, de 2 de diciembre, del Estatuto de la viña, del vino y de los alcoholes, y el Decreto 835/1972 que reglamentariamente desarrollaba la Ley 25/1970.</w:t>
      </w:r>
    </w:p>
    <w:p w14:paraId="783427EF" w14:textId="77777777" w:rsidR="009E7A89" w:rsidRDefault="009E7A89" w:rsidP="009E7A89">
      <w:pPr>
        <w:pStyle w:val="Standard"/>
        <w:spacing w:line="276" w:lineRule="auto"/>
        <w:jc w:val="both"/>
        <w:rPr>
          <w:lang w:val="es-ES"/>
        </w:rPr>
      </w:pPr>
    </w:p>
    <w:p w14:paraId="03ECE88D" w14:textId="45486D64"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 xml:space="preserve">Esta normativa fue derogada por la Ley 24/2003, de 10 de julio, de la Viña y del Vino, </w:t>
      </w:r>
      <w:proofErr w:type="gramStart"/>
      <w:r>
        <w:rPr>
          <w:rFonts w:ascii="Noto Sans" w:hAnsi="Noto Sans" w:cs="Noto Sans"/>
          <w:sz w:val="22"/>
          <w:szCs w:val="22"/>
          <w:lang w:val="es-ES"/>
        </w:rPr>
        <w:t>que</w:t>
      </w:r>
      <w:proofErr w:type="gramEnd"/>
      <w:r>
        <w:rPr>
          <w:rFonts w:ascii="Noto Sans" w:hAnsi="Noto Sans" w:cs="Noto Sans"/>
          <w:sz w:val="22"/>
          <w:szCs w:val="22"/>
          <w:lang w:val="es-ES"/>
        </w:rPr>
        <w:t xml:space="preserve"> en su disposición adicional cuarta, establece que el órgano competente de cada Comunidad Autónoma gestionará un Registro de envasadores de vinos y que se mantiene vigente el registro para otras bebidas alcohólicas distintas del vino.  </w:t>
      </w:r>
    </w:p>
    <w:p w14:paraId="06996D4C" w14:textId="77777777" w:rsidR="00685238" w:rsidRDefault="00685238" w:rsidP="009E7A89">
      <w:pPr>
        <w:pStyle w:val="Standard"/>
        <w:spacing w:line="276" w:lineRule="auto"/>
        <w:jc w:val="both"/>
        <w:rPr>
          <w:rFonts w:ascii="Noto Sans" w:hAnsi="Noto Sans" w:cs="Noto Sans"/>
          <w:sz w:val="22"/>
          <w:szCs w:val="22"/>
          <w:lang w:val="es-ES"/>
        </w:rPr>
      </w:pPr>
    </w:p>
    <w:p w14:paraId="32A20BEA" w14:textId="7B720F94"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 xml:space="preserve">El Real Decreto 1363/2011, de 7 de octubre, que desarrolla la normativa comunitaria en materia de etiquetado, presentación e identificación de determinados productos vitivinícolas, en su artículo 4, establece la obligatoriedad de que figure en el etiquetado el número de registro de envasador de vinos que le haya asignado la comunidad </w:t>
      </w:r>
      <w:r>
        <w:rPr>
          <w:rFonts w:ascii="Noto Sans" w:hAnsi="Noto Sans" w:cs="Noto Sans"/>
          <w:sz w:val="22"/>
          <w:szCs w:val="22"/>
          <w:lang w:val="es-ES"/>
        </w:rPr>
        <w:lastRenderedPageBreak/>
        <w:t xml:space="preserve">autónoma. Este decreto establece, en su artículo 6, la posibilidad de sustituir los datos del envasador por su número de registro de envasador. </w:t>
      </w:r>
      <w:r w:rsidR="00EE2A29">
        <w:rPr>
          <w:rFonts w:ascii="Noto Sans" w:hAnsi="Noto Sans" w:cs="Noto Sans"/>
          <w:sz w:val="22"/>
          <w:szCs w:val="22"/>
          <w:lang w:val="es-ES"/>
        </w:rPr>
        <w:t>Además,</w:t>
      </w:r>
      <w:r>
        <w:rPr>
          <w:rFonts w:ascii="Noto Sans" w:hAnsi="Noto Sans" w:cs="Noto Sans"/>
          <w:sz w:val="22"/>
          <w:szCs w:val="22"/>
          <w:lang w:val="es-ES"/>
        </w:rPr>
        <w:t xml:space="preserve"> en el artículo 10 permite que el envasador pueda sustituir los datos de la razón social por un nombre comercial, siempre que éste sea de su titularidad, figure inscrito en la Oficina Española de Paten</w:t>
      </w:r>
      <w:r w:rsidR="00EE2A29">
        <w:rPr>
          <w:rFonts w:ascii="Noto Sans" w:hAnsi="Noto Sans" w:cs="Noto Sans"/>
          <w:sz w:val="22"/>
          <w:szCs w:val="22"/>
          <w:lang w:val="es-ES"/>
        </w:rPr>
        <w:t>tes</w:t>
      </w:r>
      <w:r>
        <w:rPr>
          <w:rFonts w:ascii="Noto Sans" w:hAnsi="Noto Sans" w:cs="Noto Sans"/>
          <w:sz w:val="22"/>
          <w:szCs w:val="22"/>
          <w:lang w:val="es-ES"/>
        </w:rPr>
        <w:t xml:space="preserve"> y Marcas y que lo comunique </w:t>
      </w:r>
      <w:r w:rsidR="00EE2A29">
        <w:rPr>
          <w:rFonts w:ascii="Noto Sans" w:hAnsi="Noto Sans" w:cs="Noto Sans"/>
          <w:sz w:val="22"/>
          <w:szCs w:val="22"/>
          <w:lang w:val="es-ES"/>
        </w:rPr>
        <w:t>al</w:t>
      </w:r>
      <w:r>
        <w:rPr>
          <w:rFonts w:ascii="Noto Sans" w:hAnsi="Noto Sans" w:cs="Noto Sans"/>
          <w:sz w:val="22"/>
          <w:szCs w:val="22"/>
          <w:lang w:val="es-ES"/>
        </w:rPr>
        <w:t xml:space="preserve"> Registro de Envasadores para su anotación.</w:t>
      </w:r>
    </w:p>
    <w:p w14:paraId="0DAFEDAC" w14:textId="77777777" w:rsidR="009E7A89" w:rsidRDefault="009E7A89" w:rsidP="009E7A89">
      <w:pPr>
        <w:pStyle w:val="Standard"/>
        <w:spacing w:line="276" w:lineRule="auto"/>
        <w:jc w:val="both"/>
        <w:rPr>
          <w:rFonts w:ascii="Noto Sans" w:hAnsi="Noto Sans" w:cs="Noto Sans"/>
          <w:sz w:val="22"/>
          <w:szCs w:val="22"/>
          <w:lang w:val="es-ES"/>
        </w:rPr>
      </w:pPr>
    </w:p>
    <w:p w14:paraId="313D94E9"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III</w:t>
      </w:r>
    </w:p>
    <w:p w14:paraId="228675AE" w14:textId="77777777" w:rsidR="009E7A89" w:rsidRDefault="009E7A89" w:rsidP="009E7A89">
      <w:pPr>
        <w:pStyle w:val="Standard"/>
        <w:spacing w:line="276" w:lineRule="auto"/>
        <w:rPr>
          <w:rFonts w:ascii="Noto Sans" w:hAnsi="Noto Sans" w:cs="Noto Sans"/>
          <w:color w:val="FF0000"/>
          <w:sz w:val="22"/>
          <w:szCs w:val="22"/>
          <w:lang w:val="es-ES"/>
        </w:rPr>
      </w:pPr>
    </w:p>
    <w:p w14:paraId="1B5D4F2F" w14:textId="77777777"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Referente al ámbito de las Illes Balears de acuerdo con la Ley 24/2003, de 10 de julio, de la viña y el vino, se gestiona informáticamente el registro de envasadores de vino y bebidas alcohólicas donde figuran todos los operadores de las Illes Baleares, sin que se haya desarrollado reglamentariamente su funcionamiento.  Además, existe la necesidad de dar respuesta a la inscripción de operadores que utilizan instalaciones móviles o utilizan instalaciones de las que no son titulares.</w:t>
      </w:r>
    </w:p>
    <w:p w14:paraId="65B36FAD" w14:textId="77777777" w:rsidR="009E7A89" w:rsidRDefault="009E7A89" w:rsidP="009E7A89">
      <w:pPr>
        <w:pStyle w:val="Standard"/>
        <w:spacing w:line="276" w:lineRule="auto"/>
        <w:jc w:val="both"/>
        <w:rPr>
          <w:rFonts w:ascii="Noto Sans" w:hAnsi="Noto Sans" w:cs="Noto Sans"/>
          <w:sz w:val="22"/>
          <w:szCs w:val="22"/>
          <w:lang w:val="es-ES"/>
        </w:rPr>
      </w:pPr>
    </w:p>
    <w:p w14:paraId="2FD02321" w14:textId="12D113C3"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 xml:space="preserve">Estos dos aspectos hacen necesaria la redacción de esta norma, que </w:t>
      </w:r>
      <w:r w:rsidR="00685238">
        <w:rPr>
          <w:rFonts w:ascii="Noto Sans" w:hAnsi="Noto Sans" w:cs="Noto Sans"/>
          <w:sz w:val="22"/>
          <w:szCs w:val="22"/>
          <w:lang w:val="es-ES"/>
        </w:rPr>
        <w:t xml:space="preserve">también </w:t>
      </w:r>
      <w:r>
        <w:rPr>
          <w:rFonts w:ascii="Noto Sans" w:hAnsi="Noto Sans" w:cs="Noto Sans"/>
          <w:sz w:val="22"/>
          <w:szCs w:val="22"/>
          <w:lang w:val="es-ES"/>
        </w:rPr>
        <w:t xml:space="preserve">regula el procedimiento de inscripción de los envasadores de vinos y bebidas alcohólicas que operan en Mallorca, por la carencia de transferencia de competencias </w:t>
      </w:r>
      <w:r w:rsidR="008A2B6B">
        <w:rPr>
          <w:rFonts w:ascii="Noto Sans" w:hAnsi="Noto Sans" w:cs="Noto Sans"/>
          <w:sz w:val="22"/>
          <w:szCs w:val="22"/>
          <w:lang w:val="es-ES"/>
        </w:rPr>
        <w:t>al</w:t>
      </w:r>
      <w:r>
        <w:rPr>
          <w:rFonts w:ascii="Noto Sans" w:hAnsi="Noto Sans" w:cs="Noto Sans"/>
          <w:sz w:val="22"/>
          <w:szCs w:val="22"/>
          <w:lang w:val="es-ES"/>
        </w:rPr>
        <w:t xml:space="preserve"> Consell Insular.</w:t>
      </w:r>
    </w:p>
    <w:p w14:paraId="5EE07650" w14:textId="77777777" w:rsidR="009E7A89" w:rsidRDefault="009E7A89" w:rsidP="009E7A89">
      <w:pPr>
        <w:pStyle w:val="Standard"/>
        <w:spacing w:line="276" w:lineRule="auto"/>
        <w:jc w:val="both"/>
        <w:rPr>
          <w:rFonts w:ascii="Noto Sans" w:hAnsi="Noto Sans" w:cs="Noto Sans"/>
          <w:sz w:val="22"/>
          <w:szCs w:val="22"/>
          <w:lang w:val="es-ES"/>
        </w:rPr>
      </w:pPr>
    </w:p>
    <w:p w14:paraId="6427C648" w14:textId="77777777"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A su vez, mediante esta norma se deroga el Decreto 17/2011, de once de marzo, por el que se regula la Comisión de la Vitivinicultura de las Illes Balears, ya que, por cuestiones de eficiencia y eficacia, se ha creado con carácter consultivo la mesa del sector vitivinícola de las Illes Balears, como un espacio de encuentro específico con la intención de mejorar el posicionamiento del vino en el mercado, con la participación de los diferentes representantes del sector productor y de la distribución y comercialización.</w:t>
      </w:r>
    </w:p>
    <w:p w14:paraId="64EEB596" w14:textId="77777777" w:rsidR="009E7A89" w:rsidRDefault="009E7A89" w:rsidP="009E7A89">
      <w:pPr>
        <w:pStyle w:val="Standard"/>
        <w:spacing w:line="276" w:lineRule="auto"/>
        <w:jc w:val="both"/>
        <w:rPr>
          <w:rFonts w:ascii="Noto Sans" w:hAnsi="Noto Sans" w:cs="Noto Sans"/>
          <w:sz w:val="22"/>
          <w:szCs w:val="22"/>
          <w:lang w:val="es-ES"/>
        </w:rPr>
      </w:pPr>
    </w:p>
    <w:p w14:paraId="34B917E1" w14:textId="73DED23B"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Para la elaboración de este Decreto se ha consultado al sector afectado de envasadores de vinos y de bebidas alcohólicas, a través de las asociaciones de los sector</w:t>
      </w:r>
      <w:r w:rsidR="008A2B6B">
        <w:rPr>
          <w:rFonts w:ascii="Noto Sans" w:hAnsi="Noto Sans" w:cs="Noto Sans"/>
          <w:sz w:val="22"/>
          <w:szCs w:val="22"/>
          <w:lang w:val="es-ES"/>
        </w:rPr>
        <w:t>es</w:t>
      </w:r>
      <w:r>
        <w:rPr>
          <w:rFonts w:ascii="Noto Sans" w:hAnsi="Noto Sans" w:cs="Noto Sans"/>
          <w:sz w:val="22"/>
          <w:szCs w:val="22"/>
          <w:lang w:val="es-ES"/>
        </w:rPr>
        <w:t xml:space="preserve"> y de los Consejos Reguladores de las DOP y IGP de las Illes Balears, relacionados con la materia, y muy especialmente los consejos insulares.</w:t>
      </w:r>
    </w:p>
    <w:p w14:paraId="77A6B527" w14:textId="77777777" w:rsidR="009E7A89" w:rsidRDefault="009E7A89" w:rsidP="009E7A89">
      <w:pPr>
        <w:pStyle w:val="Standard"/>
        <w:spacing w:line="276" w:lineRule="auto"/>
        <w:rPr>
          <w:rFonts w:ascii="Noto Sans" w:hAnsi="Noto Sans" w:cs="Noto Sans"/>
          <w:b/>
          <w:sz w:val="22"/>
          <w:szCs w:val="22"/>
        </w:rPr>
      </w:pPr>
    </w:p>
    <w:p w14:paraId="518086A3" w14:textId="77777777" w:rsidR="009E7A89" w:rsidRDefault="009E7A89" w:rsidP="009E7A89">
      <w:pPr>
        <w:pStyle w:val="Standard"/>
        <w:spacing w:line="276" w:lineRule="auto"/>
        <w:rPr>
          <w:rFonts w:ascii="Noto Sans" w:hAnsi="Noto Sans" w:cs="Noto Sans"/>
          <w:b/>
          <w:sz w:val="22"/>
          <w:szCs w:val="22"/>
        </w:rPr>
      </w:pPr>
      <w:r>
        <w:rPr>
          <w:rFonts w:ascii="Noto Sans" w:hAnsi="Noto Sans" w:cs="Noto Sans"/>
          <w:b/>
          <w:sz w:val="22"/>
          <w:szCs w:val="22"/>
        </w:rPr>
        <w:t>IV</w:t>
      </w:r>
    </w:p>
    <w:p w14:paraId="4ABA0397" w14:textId="77777777" w:rsidR="009E7A89" w:rsidRDefault="009E7A89" w:rsidP="009E7A89">
      <w:pPr>
        <w:pStyle w:val="Standard"/>
        <w:spacing w:line="276" w:lineRule="auto"/>
        <w:rPr>
          <w:rFonts w:ascii="Noto Sans" w:hAnsi="Noto Sans" w:cs="Noto Sans"/>
          <w:color w:val="FF0000"/>
          <w:sz w:val="22"/>
          <w:szCs w:val="22"/>
        </w:rPr>
      </w:pPr>
    </w:p>
    <w:p w14:paraId="5D2892AB" w14:textId="77777777" w:rsidR="009E7A89" w:rsidRDefault="009E7A89" w:rsidP="009E7A89">
      <w:pPr>
        <w:pStyle w:val="Standard"/>
        <w:spacing w:line="276" w:lineRule="auto"/>
        <w:jc w:val="both"/>
      </w:pPr>
      <w:r>
        <w:rPr>
          <w:rFonts w:ascii="Noto Sans" w:hAnsi="Noto Sans" w:cs="Noto Sans"/>
          <w:sz w:val="22"/>
          <w:szCs w:val="22"/>
          <w:lang w:val="es-ES"/>
        </w:rPr>
        <w:t>En relación con el análisis competencial, el artículo 30.10 del Estatuto de Autonomía de las Illes Balears, aprobado mediante Ley Orgánica 2/1983, de 25 de febrero, establece que la Comunidad Autónoma tiene la competencia exclusiva en materia de agricultura y ganadería, de calidad, trazabilidad y condiciones de los productos agrícolas y ganaderos y de los productos alimentarios que de ellos se derivan. El ejercicio de estas competencias se realizará de acuerdo con la ordenación general de la economía.</w:t>
      </w:r>
    </w:p>
    <w:p w14:paraId="788F89A7" w14:textId="77777777" w:rsidR="009E7A89" w:rsidRDefault="009E7A89" w:rsidP="009E7A89">
      <w:pPr>
        <w:pStyle w:val="Standard"/>
        <w:spacing w:line="276" w:lineRule="auto"/>
        <w:jc w:val="both"/>
        <w:rPr>
          <w:rFonts w:ascii="Noto Sans" w:hAnsi="Noto Sans" w:cs="Noto Sans"/>
          <w:sz w:val="22"/>
          <w:szCs w:val="22"/>
          <w:lang w:val="es-ES"/>
        </w:rPr>
      </w:pPr>
    </w:p>
    <w:p w14:paraId="35A0BC36" w14:textId="77777777"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El artículo 70.12 del Estatuto de Autonomía de las Illes Balears de 2007 reconoce la agricultura como competencia propia de los consejos insulares, dentro de la que se incluye el registro de la actividad vitivinícola y de bebidas alcohólicas.</w:t>
      </w:r>
    </w:p>
    <w:p w14:paraId="726136DC" w14:textId="77777777" w:rsidR="009E7A89" w:rsidRDefault="009E7A89" w:rsidP="009E7A89">
      <w:pPr>
        <w:pStyle w:val="Standard"/>
        <w:spacing w:line="276" w:lineRule="auto"/>
        <w:jc w:val="both"/>
        <w:rPr>
          <w:rFonts w:ascii="Noto Sans" w:hAnsi="Noto Sans" w:cs="Noto Sans"/>
          <w:sz w:val="22"/>
          <w:szCs w:val="22"/>
          <w:lang w:val="es-ES"/>
        </w:rPr>
      </w:pPr>
    </w:p>
    <w:p w14:paraId="16828E8F" w14:textId="77777777"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lastRenderedPageBreak/>
        <w:t>Además, la exposición de motivos de la Ley 8/1999, de 12 de abril, de atribución de competencias a los consejos insulares de Menorca y de Ibiza y Formentera en materia de agricultura, ganadería, pesca y artesanía, establece que en la isla de Mallorca las competencias en materia de agricultura, ganadería, pesca y artesanía son titularidad del Gobierno de las Illes Balears, incluida la actividad registral. Además, el artículo 3.11 de esta Ley reserva al Gobierno de las Illes Balears la potestad relativa a los registros interinsulares.</w:t>
      </w:r>
    </w:p>
    <w:p w14:paraId="29A3C883" w14:textId="77777777" w:rsidR="009E7A89" w:rsidRDefault="009E7A89" w:rsidP="009E7A89">
      <w:pPr>
        <w:pStyle w:val="Standard"/>
        <w:spacing w:line="276" w:lineRule="auto"/>
        <w:jc w:val="both"/>
        <w:rPr>
          <w:rFonts w:ascii="Noto Sans" w:hAnsi="Noto Sans" w:cs="Noto Sans"/>
          <w:sz w:val="22"/>
          <w:szCs w:val="22"/>
          <w:lang w:val="es-ES"/>
        </w:rPr>
      </w:pPr>
    </w:p>
    <w:p w14:paraId="0B5004C9" w14:textId="7A7E2F2A"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 xml:space="preserve">Este Decreto cumple los principios de buena regulación que exigen el artículo 49 de la Ley 1/2019, de 31 de enero, del Gobierno de las Illes Balears, y el artículo 129 de la Ley 39/2015, de 1 de octubre, del procedimiento administrativo común de las administraciones públicas y quedan suficientemente justificados los siguientes principios de buena regulación: de necesidad y eficacia, porque esta norma es el instrumento más adecuado para regular el Registro de Envasadores de Vinos y Bebidas Alcohólicas de las Illes Balears (REDIB); de proporcionalidad, puesto que este Decreto regula el </w:t>
      </w:r>
      <w:r w:rsidR="008A2B6B">
        <w:rPr>
          <w:rFonts w:ascii="Noto Sans" w:hAnsi="Noto Sans" w:cs="Noto Sans"/>
          <w:sz w:val="22"/>
          <w:szCs w:val="22"/>
          <w:lang w:val="es-ES"/>
        </w:rPr>
        <w:t xml:space="preserve"> Registro interinsular </w:t>
      </w:r>
      <w:r>
        <w:rPr>
          <w:rFonts w:ascii="Noto Sans" w:hAnsi="Noto Sans" w:cs="Noto Sans"/>
          <w:sz w:val="22"/>
          <w:szCs w:val="22"/>
          <w:lang w:val="es-ES"/>
        </w:rPr>
        <w:t>REDIB, sin perjuicio de la potestad reglamentaria de los consejos insulares; de seguridad jurídica, porque se trata de una norma que se inserta con carácter estable en el marco normativo autonómico; de transparencia, dónde se debe destacar la participación ciudadana antes y durante el proceso de elaboración de la norma, y, finalmente, de eficiencia, puesto que la iniciativa normativa no implica cargas administrativas innecesarias o accesorias.</w:t>
      </w:r>
    </w:p>
    <w:p w14:paraId="17D45988" w14:textId="77777777" w:rsidR="009E7A89" w:rsidRDefault="009E7A89" w:rsidP="009E7A89">
      <w:pPr>
        <w:pStyle w:val="Standard"/>
        <w:spacing w:line="276" w:lineRule="auto"/>
        <w:jc w:val="both"/>
        <w:rPr>
          <w:rFonts w:ascii="Noto Sans" w:eastAsia="Noto Sans" w:hAnsi="Noto Sans" w:cs="Noto Sans"/>
          <w:sz w:val="22"/>
          <w:szCs w:val="22"/>
          <w:lang w:val="es-ES"/>
        </w:rPr>
      </w:pPr>
      <w:r>
        <w:rPr>
          <w:rFonts w:ascii="Noto Sans" w:eastAsia="Noto Sans" w:hAnsi="Noto Sans" w:cs="Noto Sans"/>
          <w:sz w:val="22"/>
          <w:szCs w:val="22"/>
          <w:lang w:val="es-ES"/>
        </w:rPr>
        <w:t xml:space="preserve"> </w:t>
      </w:r>
    </w:p>
    <w:p w14:paraId="487B66F6" w14:textId="77777777"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 xml:space="preserve">Finalmente, el Decreto 11/2021, de 15 de febrero, de la presidenta de las Illes Balears, por el que se establecen las competencias y la estructura orgánica básica de las consejerías de la Administración de la Comunidad Autónoma de las Illes Balears, dispone que la </w:t>
      </w:r>
      <w:bookmarkStart w:id="0" w:name="_Hlk106793594"/>
      <w:r>
        <w:rPr>
          <w:rFonts w:ascii="Noto Sans" w:hAnsi="Noto Sans" w:cs="Noto Sans"/>
          <w:sz w:val="22"/>
          <w:szCs w:val="22"/>
          <w:lang w:val="es-ES"/>
        </w:rPr>
        <w:t>Consejería de Agricultura, Pesca y Alimentación</w:t>
      </w:r>
      <w:bookmarkEnd w:id="0"/>
      <w:r>
        <w:rPr>
          <w:rFonts w:ascii="Noto Sans" w:hAnsi="Noto Sans" w:cs="Noto Sans"/>
          <w:sz w:val="22"/>
          <w:szCs w:val="22"/>
          <w:lang w:val="es-ES"/>
        </w:rPr>
        <w:t>, ejerce, entre otros, la competencia en materia de agricultura.</w:t>
      </w:r>
    </w:p>
    <w:p w14:paraId="4129B9D1" w14:textId="77777777" w:rsidR="009E7A89" w:rsidRDefault="009E7A89" w:rsidP="009E7A89">
      <w:pPr>
        <w:pStyle w:val="Standard"/>
        <w:spacing w:line="276" w:lineRule="auto"/>
        <w:jc w:val="both"/>
        <w:rPr>
          <w:rFonts w:ascii="Noto Sans" w:hAnsi="Noto Sans" w:cs="Noto Sans"/>
          <w:sz w:val="22"/>
          <w:szCs w:val="22"/>
          <w:lang w:val="es-ES"/>
        </w:rPr>
      </w:pPr>
    </w:p>
    <w:p w14:paraId="78CA6795" w14:textId="45D7049D" w:rsidR="009E7A89" w:rsidRDefault="009E7A89" w:rsidP="009E7A89">
      <w:pPr>
        <w:pStyle w:val="Standard"/>
        <w:spacing w:line="276" w:lineRule="auto"/>
        <w:jc w:val="both"/>
        <w:rPr>
          <w:rFonts w:ascii="Noto Sans" w:hAnsi="Noto Sans" w:cs="Noto Sans"/>
          <w:sz w:val="22"/>
          <w:szCs w:val="22"/>
          <w:lang w:val="es-ES"/>
        </w:rPr>
      </w:pPr>
      <w:r>
        <w:rPr>
          <w:rFonts w:ascii="Noto Sans" w:hAnsi="Noto Sans" w:cs="Noto Sans"/>
          <w:sz w:val="22"/>
          <w:szCs w:val="22"/>
          <w:lang w:val="es-ES"/>
        </w:rPr>
        <w:t xml:space="preserve">Por todo lo expuesto, a propuesta de la consejera de Agricultura, Pesca y Alimentación, oído/de acuerdo con el Consejo Consultivo de las Illes Balears, y deliberado en el Consejo de Gobierno en la sesión del día </w:t>
      </w:r>
      <w:r w:rsidR="00255358">
        <w:rPr>
          <w:rFonts w:ascii="Noto Sans" w:hAnsi="Noto Sans" w:cs="Noto Sans"/>
          <w:sz w:val="22"/>
          <w:szCs w:val="22"/>
          <w:lang w:val="es-ES"/>
        </w:rPr>
        <w:t xml:space="preserve">  </w:t>
      </w:r>
      <w:proofErr w:type="gramStart"/>
      <w:r>
        <w:rPr>
          <w:rFonts w:ascii="Noto Sans" w:hAnsi="Noto Sans" w:cs="Noto Sans"/>
          <w:sz w:val="22"/>
          <w:szCs w:val="22"/>
          <w:lang w:val="es-ES"/>
        </w:rPr>
        <w:t xml:space="preserve">de </w:t>
      </w:r>
      <w:r w:rsidR="00255358">
        <w:rPr>
          <w:rFonts w:ascii="Noto Sans" w:hAnsi="Noto Sans" w:cs="Noto Sans"/>
          <w:sz w:val="22"/>
          <w:szCs w:val="22"/>
          <w:lang w:val="es-ES"/>
        </w:rPr>
        <w:t xml:space="preserve"> </w:t>
      </w:r>
      <w:proofErr w:type="spellStart"/>
      <w:r>
        <w:rPr>
          <w:rFonts w:ascii="Noto Sans" w:hAnsi="Noto Sans" w:cs="Noto Sans"/>
          <w:sz w:val="22"/>
          <w:szCs w:val="22"/>
          <w:lang w:val="es-ES"/>
        </w:rPr>
        <w:t>de</w:t>
      </w:r>
      <w:proofErr w:type="spellEnd"/>
      <w:proofErr w:type="gramEnd"/>
      <w:r>
        <w:rPr>
          <w:rFonts w:ascii="Noto Sans" w:hAnsi="Noto Sans" w:cs="Noto Sans"/>
          <w:sz w:val="22"/>
          <w:szCs w:val="22"/>
          <w:lang w:val="es-ES"/>
        </w:rPr>
        <w:t xml:space="preserve"> 2022, dicto lo siguiente:</w:t>
      </w:r>
    </w:p>
    <w:p w14:paraId="07F4A51C" w14:textId="77777777" w:rsidR="009E7A89" w:rsidRDefault="009E7A89" w:rsidP="009E7A89">
      <w:pPr>
        <w:pStyle w:val="Standard"/>
        <w:spacing w:line="276" w:lineRule="auto"/>
        <w:rPr>
          <w:rFonts w:ascii="Noto Sans" w:hAnsi="Noto Sans" w:cs="Noto Sans"/>
          <w:b/>
          <w:sz w:val="22"/>
          <w:szCs w:val="22"/>
        </w:rPr>
      </w:pPr>
    </w:p>
    <w:p w14:paraId="4F6EDEE4"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DECRETO</w:t>
      </w:r>
    </w:p>
    <w:p w14:paraId="6B69A1C0" w14:textId="77777777" w:rsidR="009E7A89" w:rsidRDefault="009E7A89" w:rsidP="009E7A89">
      <w:pPr>
        <w:pStyle w:val="Standard"/>
        <w:spacing w:line="276" w:lineRule="auto"/>
        <w:rPr>
          <w:rFonts w:ascii="Noto Sans" w:hAnsi="Noto Sans" w:cs="Noto Sans"/>
          <w:b/>
          <w:sz w:val="22"/>
          <w:szCs w:val="22"/>
          <w:lang w:val="es-ES"/>
        </w:rPr>
      </w:pPr>
    </w:p>
    <w:p w14:paraId="4E6F232F" w14:textId="77777777" w:rsidR="009E7A89" w:rsidRDefault="009E7A89"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Artículo 1</w:t>
      </w:r>
    </w:p>
    <w:p w14:paraId="18A59339" w14:textId="77777777" w:rsidR="009E7A89" w:rsidRDefault="009E7A89"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Objeto y ámbito de aplicación del Registro de Envasadores de Vinos y Bebidas Alcohólicas de las Illes Balears (REDIB)</w:t>
      </w:r>
    </w:p>
    <w:p w14:paraId="230DC0AF" w14:textId="77777777" w:rsidR="009E7A89" w:rsidRDefault="009E7A89" w:rsidP="009E7A89">
      <w:pPr>
        <w:pStyle w:val="Standard"/>
        <w:spacing w:line="276" w:lineRule="auto"/>
        <w:rPr>
          <w:rFonts w:ascii="Noto Sans" w:hAnsi="Noto Sans" w:cs="Noto Sans"/>
          <w:b/>
          <w:sz w:val="22"/>
          <w:szCs w:val="22"/>
          <w:lang w:val="es-ES"/>
        </w:rPr>
      </w:pPr>
    </w:p>
    <w:p w14:paraId="61A5BE48" w14:textId="77777777" w:rsidR="009E7A89" w:rsidRDefault="009E7A89" w:rsidP="00255358">
      <w:pPr>
        <w:pStyle w:val="Prrafodelista"/>
        <w:autoSpaceDN w:val="0"/>
        <w:spacing w:line="276" w:lineRule="auto"/>
        <w:ind w:left="0"/>
        <w:contextualSpacing w:val="0"/>
        <w:jc w:val="both"/>
        <w:textAlignment w:val="baseline"/>
      </w:pPr>
      <w:r>
        <w:rPr>
          <w:rFonts w:ascii="Noto Sans" w:hAnsi="Noto Sans" w:cs="Noto Sans"/>
          <w:sz w:val="22"/>
          <w:szCs w:val="22"/>
          <w:lang w:val="es-ES" w:eastAsia="zh-CN"/>
        </w:rPr>
        <w:t>El objecto de este Decreto es regular el funcionamiento del Registro de Envasadores de Vinos y Bebidas Alcohólicas de las Illes Balears (REDIB) y el procedimiento de gestión del Registro Insular de Mallorca.</w:t>
      </w:r>
    </w:p>
    <w:p w14:paraId="2E81BFA7" w14:textId="77777777" w:rsidR="009E7A89" w:rsidRDefault="009E7A89" w:rsidP="009E7A89">
      <w:pPr>
        <w:pStyle w:val="Standard"/>
        <w:spacing w:line="276" w:lineRule="auto"/>
        <w:jc w:val="both"/>
        <w:rPr>
          <w:rFonts w:ascii="Noto Sans" w:hAnsi="Noto Sans" w:cs="Noto Sans"/>
          <w:b/>
          <w:sz w:val="22"/>
          <w:szCs w:val="22"/>
          <w:lang w:val="es-ES"/>
        </w:rPr>
      </w:pPr>
    </w:p>
    <w:p w14:paraId="42A227EF"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Artículo 2</w:t>
      </w:r>
    </w:p>
    <w:p w14:paraId="61E2D37D"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Naturaleza jurídica</w:t>
      </w:r>
    </w:p>
    <w:p w14:paraId="55D8502E" w14:textId="77777777" w:rsidR="009E7A89" w:rsidRDefault="009E7A89" w:rsidP="009E7A89">
      <w:pPr>
        <w:pStyle w:val="Standard"/>
        <w:spacing w:line="276" w:lineRule="auto"/>
        <w:rPr>
          <w:rFonts w:ascii="Noto Sans" w:hAnsi="Noto Sans" w:cs="Noto Sans"/>
          <w:b/>
          <w:sz w:val="22"/>
          <w:szCs w:val="22"/>
          <w:lang w:val="es-ES"/>
        </w:rPr>
      </w:pPr>
    </w:p>
    <w:p w14:paraId="6688D285" w14:textId="758572D5" w:rsidR="009E7A89" w:rsidRDefault="009E7A89" w:rsidP="009E7A89">
      <w:pPr>
        <w:pStyle w:val="Prrafodelista"/>
        <w:numPr>
          <w:ilvl w:val="0"/>
          <w:numId w:val="17"/>
        </w:numPr>
        <w:autoSpaceDN w:val="0"/>
        <w:spacing w:line="276" w:lineRule="auto"/>
        <w:contextualSpacing w:val="0"/>
        <w:jc w:val="both"/>
        <w:textAlignment w:val="baseline"/>
      </w:pPr>
      <w:r>
        <w:rPr>
          <w:rFonts w:ascii="Noto Sans" w:hAnsi="Noto Sans" w:cs="Noto Sans"/>
          <w:sz w:val="22"/>
          <w:szCs w:val="22"/>
          <w:lang w:val="es-ES" w:eastAsia="zh-CN"/>
        </w:rPr>
        <w:lastRenderedPageBreak/>
        <w:t>El Registro de Envasadores de Vinos y Bebidas Alcohólicas de las Illes Balears (REDIB) es un registro informático único, de carácter público e interinsular</w:t>
      </w:r>
      <w:r>
        <w:rPr>
          <w:rFonts w:ascii="Noto Sans" w:hAnsi="Noto Sans" w:cs="Noto Sans"/>
          <w:b/>
          <w:sz w:val="22"/>
          <w:szCs w:val="22"/>
          <w:lang w:val="es-ES" w:eastAsia="zh-CN"/>
        </w:rPr>
        <w:t xml:space="preserve"> </w:t>
      </w:r>
      <w:r>
        <w:rPr>
          <w:rFonts w:ascii="Noto Sans" w:hAnsi="Noto Sans" w:cs="Noto Sans"/>
          <w:sz w:val="22"/>
          <w:szCs w:val="22"/>
          <w:lang w:val="es-ES" w:eastAsia="zh-CN"/>
        </w:rPr>
        <w:t>y de naturaleza técnico-administrativa en el que se recogen los datos obligatorios de los operadores que envasan u ordenan envasar en las Illes Balears vinos o bebidas alcohólicas.</w:t>
      </w:r>
    </w:p>
    <w:p w14:paraId="2A01220B" w14:textId="77777777" w:rsidR="009E7A89" w:rsidRDefault="009E7A89" w:rsidP="009E7A89">
      <w:pPr>
        <w:pStyle w:val="Prrafodelista"/>
        <w:spacing w:line="276" w:lineRule="auto"/>
        <w:ind w:left="1440"/>
        <w:jc w:val="both"/>
        <w:rPr>
          <w:lang w:val="es-ES"/>
        </w:rPr>
      </w:pPr>
    </w:p>
    <w:p w14:paraId="0883BECA" w14:textId="464AB459" w:rsidR="009E7A89" w:rsidRDefault="009E7A89" w:rsidP="009E7A89">
      <w:pPr>
        <w:pStyle w:val="Prrafodelista"/>
        <w:numPr>
          <w:ilvl w:val="0"/>
          <w:numId w:val="5"/>
        </w:numPr>
        <w:autoSpaceDN w:val="0"/>
        <w:spacing w:line="276" w:lineRule="auto"/>
        <w:contextualSpacing w:val="0"/>
        <w:jc w:val="both"/>
        <w:textAlignment w:val="baseline"/>
      </w:pPr>
      <w:r>
        <w:rPr>
          <w:rFonts w:ascii="Noto Sans" w:hAnsi="Noto Sans" w:cs="Noto Sans"/>
          <w:sz w:val="22"/>
          <w:szCs w:val="22"/>
          <w:lang w:val="es-ES" w:eastAsia="zh-CN"/>
        </w:rPr>
        <w:t xml:space="preserve">Este Registro depende de la </w:t>
      </w:r>
      <w:r w:rsidR="00E011C1" w:rsidRPr="00E011C1">
        <w:rPr>
          <w:rFonts w:ascii="Noto Sans" w:hAnsi="Noto Sans" w:cs="Noto Sans"/>
          <w:sz w:val="22"/>
          <w:szCs w:val="22"/>
          <w:lang w:val="es-ES" w:eastAsia="zh-CN"/>
        </w:rPr>
        <w:t>Consejería de Agricultura, Pesca y Alimentación</w:t>
      </w:r>
      <w:r>
        <w:rPr>
          <w:rFonts w:ascii="Noto Sans" w:hAnsi="Noto Sans" w:cs="Noto Sans"/>
          <w:sz w:val="22"/>
          <w:szCs w:val="22"/>
          <w:lang w:val="es-ES" w:eastAsia="zh-CN"/>
        </w:rPr>
        <w:t>, mediante la Dirección General de Políticas para la Soberanía Alimentaria, y se debe gestionar con los medios personales y materiales de ésta.</w:t>
      </w:r>
    </w:p>
    <w:p w14:paraId="413B071A" w14:textId="77777777" w:rsidR="009E7A89" w:rsidRDefault="009E7A89" w:rsidP="009E7A89">
      <w:pPr>
        <w:pStyle w:val="Standard"/>
        <w:spacing w:line="276" w:lineRule="auto"/>
        <w:rPr>
          <w:rFonts w:ascii="Noto Sans" w:hAnsi="Noto Sans" w:cs="Noto Sans"/>
          <w:sz w:val="22"/>
          <w:szCs w:val="22"/>
          <w:lang w:val="es-ES"/>
        </w:rPr>
      </w:pPr>
    </w:p>
    <w:p w14:paraId="108C415F"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Artículo 3</w:t>
      </w:r>
    </w:p>
    <w:p w14:paraId="6FB49394"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Finalidades del REDIB</w:t>
      </w:r>
    </w:p>
    <w:p w14:paraId="7D8E8C33" w14:textId="77777777" w:rsidR="009E7A89" w:rsidRDefault="009E7A89" w:rsidP="009E7A89">
      <w:pPr>
        <w:pStyle w:val="Standard"/>
        <w:spacing w:line="276" w:lineRule="auto"/>
        <w:rPr>
          <w:rFonts w:ascii="Noto Sans" w:hAnsi="Noto Sans" w:cs="Noto Sans"/>
          <w:b/>
          <w:sz w:val="22"/>
          <w:szCs w:val="22"/>
          <w:lang w:val="es-ES"/>
        </w:rPr>
      </w:pPr>
    </w:p>
    <w:p w14:paraId="60A56F0B" w14:textId="0BF46FB6" w:rsidR="009E7A89" w:rsidRDefault="009E7A89" w:rsidP="00E011C1">
      <w:pPr>
        <w:pStyle w:val="Prrafodelista"/>
        <w:autoSpaceDN w:val="0"/>
        <w:spacing w:line="276" w:lineRule="auto"/>
        <w:ind w:left="0"/>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 xml:space="preserve">En el REDIB se deben inscribir las personas físicas o jurídicas, o sus agrupaciones, que en el territorio de la </w:t>
      </w:r>
      <w:r w:rsidR="00E011C1">
        <w:rPr>
          <w:rFonts w:ascii="Noto Sans" w:hAnsi="Noto Sans" w:cs="Noto Sans"/>
          <w:sz w:val="22"/>
          <w:szCs w:val="22"/>
          <w:lang w:val="es-ES" w:eastAsia="zh-CN"/>
        </w:rPr>
        <w:t>Comunidad</w:t>
      </w:r>
      <w:r>
        <w:rPr>
          <w:rFonts w:ascii="Noto Sans" w:hAnsi="Noto Sans" w:cs="Noto Sans"/>
          <w:sz w:val="22"/>
          <w:szCs w:val="22"/>
          <w:lang w:val="es-ES" w:eastAsia="zh-CN"/>
        </w:rPr>
        <w:t xml:space="preserve"> </w:t>
      </w:r>
      <w:r w:rsidR="00E011C1">
        <w:rPr>
          <w:rFonts w:ascii="Noto Sans" w:hAnsi="Noto Sans" w:cs="Noto Sans"/>
          <w:sz w:val="22"/>
          <w:szCs w:val="22"/>
          <w:lang w:val="es-ES" w:eastAsia="zh-CN"/>
        </w:rPr>
        <w:t>Autónoma</w:t>
      </w:r>
      <w:r>
        <w:rPr>
          <w:rFonts w:ascii="Noto Sans" w:hAnsi="Noto Sans" w:cs="Noto Sans"/>
          <w:sz w:val="22"/>
          <w:szCs w:val="22"/>
          <w:lang w:val="es-ES" w:eastAsia="zh-CN"/>
        </w:rPr>
        <w:t xml:space="preserve"> de les Illes Balears, efectúen o hagan efectuar por su cuenta el envasado en recipientes de capacidad nominal inferior a 60 litros, de los productos mencionados en los puntos 1 a 11, 13, 15 y 16 del anexo VII parte II del Reglamento (CE) núm. 1308/2013, de 17 de diciembre de 2013, y de otras bebidas alcohólicas.</w:t>
      </w:r>
    </w:p>
    <w:p w14:paraId="45A1F634" w14:textId="77777777" w:rsidR="009E7A89" w:rsidRDefault="009E7A89" w:rsidP="00E011C1">
      <w:pPr>
        <w:pStyle w:val="Standard"/>
        <w:spacing w:line="276" w:lineRule="auto"/>
        <w:jc w:val="both"/>
        <w:rPr>
          <w:rFonts w:ascii="Noto Sans" w:hAnsi="Noto Sans" w:cs="Noto Sans"/>
          <w:sz w:val="22"/>
          <w:szCs w:val="22"/>
          <w:lang w:val="es-ES"/>
        </w:rPr>
      </w:pPr>
    </w:p>
    <w:p w14:paraId="716EF05F" w14:textId="77777777" w:rsidR="009E7A89" w:rsidRDefault="009E7A89" w:rsidP="00E011C1">
      <w:pPr>
        <w:pStyle w:val="Prrafodelista"/>
        <w:autoSpaceDN w:val="0"/>
        <w:spacing w:line="276" w:lineRule="auto"/>
        <w:ind w:left="0"/>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Por tanto, el REDIB tiene las siguientes finalidades:</w:t>
      </w:r>
    </w:p>
    <w:p w14:paraId="4808514A" w14:textId="77777777" w:rsidR="009E7A89" w:rsidRDefault="009E7A89" w:rsidP="009E7A89">
      <w:pPr>
        <w:pStyle w:val="Standard"/>
        <w:spacing w:line="276" w:lineRule="auto"/>
        <w:jc w:val="both"/>
        <w:rPr>
          <w:rFonts w:ascii="Noto Sans" w:hAnsi="Noto Sans" w:cs="Noto Sans"/>
          <w:sz w:val="22"/>
          <w:szCs w:val="22"/>
          <w:lang w:val="es-ES"/>
        </w:rPr>
      </w:pPr>
    </w:p>
    <w:p w14:paraId="02236991" w14:textId="07CC47C7" w:rsidR="009E7A89" w:rsidRDefault="009E7A89" w:rsidP="009E7A89">
      <w:pPr>
        <w:pStyle w:val="Prrafodelista"/>
        <w:numPr>
          <w:ilvl w:val="0"/>
          <w:numId w:val="19"/>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La adscripción de una numeración obligatoria para los operadores que desarrollen la actividad de envasar vinos y otras bebidas alcohólicas</w:t>
      </w:r>
      <w:r w:rsidR="00E011C1">
        <w:rPr>
          <w:rFonts w:ascii="Noto Sans" w:hAnsi="Noto Sans" w:cs="Noto Sans"/>
          <w:sz w:val="22"/>
          <w:szCs w:val="22"/>
          <w:lang w:val="es-ES" w:eastAsia="zh-CN"/>
        </w:rPr>
        <w:t xml:space="preserve"> en las Illes Balears.</w:t>
      </w:r>
    </w:p>
    <w:p w14:paraId="23957F73" w14:textId="77777777" w:rsidR="009E7A89" w:rsidRDefault="009E7A89" w:rsidP="009E7A89">
      <w:pPr>
        <w:pStyle w:val="Prrafodelista"/>
        <w:spacing w:line="276" w:lineRule="auto"/>
        <w:jc w:val="both"/>
        <w:rPr>
          <w:rFonts w:ascii="Noto Sans" w:hAnsi="Noto Sans" w:cs="Noto Sans"/>
          <w:sz w:val="22"/>
          <w:szCs w:val="22"/>
          <w:lang w:val="es-ES"/>
        </w:rPr>
      </w:pPr>
    </w:p>
    <w:p w14:paraId="394712DB" w14:textId="77777777" w:rsidR="009E7A89" w:rsidRDefault="009E7A89" w:rsidP="009E7A89">
      <w:pPr>
        <w:pStyle w:val="Prrafodelista"/>
        <w:numPr>
          <w:ilvl w:val="0"/>
          <w:numId w:val="1"/>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La gestión del registro de los operadores que envasan vinos y bebidas alcohólicas en las Illes Balears.</w:t>
      </w:r>
    </w:p>
    <w:p w14:paraId="76AB2F40" w14:textId="77777777" w:rsidR="009E7A89" w:rsidRDefault="009E7A89" w:rsidP="009E7A89">
      <w:pPr>
        <w:pStyle w:val="Standard"/>
        <w:spacing w:line="276" w:lineRule="auto"/>
        <w:ind w:left="708" w:hanging="708"/>
        <w:jc w:val="both"/>
        <w:rPr>
          <w:rFonts w:ascii="Noto Sans" w:hAnsi="Noto Sans" w:cs="Noto Sans"/>
          <w:i/>
          <w:sz w:val="22"/>
          <w:szCs w:val="22"/>
          <w:lang w:val="es-ES"/>
        </w:rPr>
      </w:pPr>
    </w:p>
    <w:p w14:paraId="2040A655" w14:textId="73BEE75A" w:rsidR="009E7A89" w:rsidRDefault="009E7A89" w:rsidP="009E7A89">
      <w:pPr>
        <w:pStyle w:val="Prrafodelista"/>
        <w:numPr>
          <w:ilvl w:val="0"/>
          <w:numId w:val="1"/>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El mantenimiento de una base de datos actualizada y fiable para la elaboración de las estadísticas oficiales en esta materia.</w:t>
      </w:r>
    </w:p>
    <w:p w14:paraId="6B39DCEC" w14:textId="77777777" w:rsidR="009E7A89" w:rsidRDefault="009E7A89" w:rsidP="009E7A89">
      <w:pPr>
        <w:pStyle w:val="Prrafodelista"/>
        <w:spacing w:line="276" w:lineRule="auto"/>
        <w:rPr>
          <w:rFonts w:ascii="Noto Sans" w:hAnsi="Noto Sans" w:cs="Noto Sans"/>
          <w:sz w:val="22"/>
          <w:szCs w:val="22"/>
          <w:lang w:val="es-ES"/>
        </w:rPr>
      </w:pPr>
    </w:p>
    <w:p w14:paraId="25DD45F8" w14:textId="77777777" w:rsidR="009E7A89" w:rsidRDefault="009E7A89"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Artículo 4</w:t>
      </w:r>
    </w:p>
    <w:p w14:paraId="34D1F4DD" w14:textId="79FCAFA1" w:rsidR="009E7A89" w:rsidRDefault="00B002E5"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Funcionamiento</w:t>
      </w:r>
      <w:r w:rsidR="009E7A89">
        <w:rPr>
          <w:rFonts w:ascii="Noto Sans" w:hAnsi="Noto Sans" w:cs="Noto Sans"/>
          <w:b/>
          <w:sz w:val="22"/>
          <w:szCs w:val="22"/>
          <w:lang w:val="es-ES"/>
        </w:rPr>
        <w:t xml:space="preserve"> del REDIB</w:t>
      </w:r>
    </w:p>
    <w:p w14:paraId="75AB9DD8" w14:textId="77777777" w:rsidR="009E7A89" w:rsidRDefault="009E7A89" w:rsidP="009E7A89">
      <w:pPr>
        <w:pStyle w:val="Standard"/>
        <w:spacing w:line="276" w:lineRule="auto"/>
        <w:jc w:val="both"/>
        <w:rPr>
          <w:rFonts w:ascii="Noto Sans" w:hAnsi="Noto Sans" w:cs="Noto Sans"/>
          <w:sz w:val="22"/>
          <w:szCs w:val="22"/>
          <w:lang w:val="es-ES"/>
        </w:rPr>
      </w:pPr>
    </w:p>
    <w:p w14:paraId="53D36652" w14:textId="77777777" w:rsidR="009E7A89" w:rsidRDefault="009E7A89" w:rsidP="009E7A89">
      <w:pPr>
        <w:pStyle w:val="Prrafodelista"/>
        <w:numPr>
          <w:ilvl w:val="0"/>
          <w:numId w:val="20"/>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En el REDIB se deben inscribir dos tipos de operadores:</w:t>
      </w:r>
    </w:p>
    <w:p w14:paraId="7009458E" w14:textId="77777777" w:rsidR="009E7A89" w:rsidRDefault="009E7A89" w:rsidP="009E7A89">
      <w:pPr>
        <w:pStyle w:val="Prrafodelista"/>
        <w:spacing w:line="276" w:lineRule="auto"/>
        <w:jc w:val="both"/>
        <w:rPr>
          <w:rFonts w:ascii="Noto Sans" w:hAnsi="Noto Sans" w:cs="Noto Sans"/>
          <w:sz w:val="22"/>
          <w:szCs w:val="22"/>
          <w:lang w:val="es-ES"/>
        </w:rPr>
      </w:pPr>
    </w:p>
    <w:p w14:paraId="2EBE5CC3" w14:textId="77777777" w:rsidR="009E7A89" w:rsidRDefault="009E7A89" w:rsidP="009E7A89">
      <w:pPr>
        <w:pStyle w:val="Prrafodelista"/>
        <w:numPr>
          <w:ilvl w:val="0"/>
          <w:numId w:val="21"/>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Operadores que envasen vino o bebidas alcohólicas con instalaciones propias, sean fijas o móviles.</w:t>
      </w:r>
    </w:p>
    <w:p w14:paraId="57F96833" w14:textId="77777777" w:rsidR="009E7A89" w:rsidRDefault="009E7A89" w:rsidP="009E7A89">
      <w:pPr>
        <w:pStyle w:val="Prrafodelista"/>
        <w:spacing w:line="276" w:lineRule="auto"/>
        <w:jc w:val="both"/>
        <w:rPr>
          <w:rFonts w:ascii="Noto Sans" w:hAnsi="Noto Sans" w:cs="Noto Sans"/>
          <w:sz w:val="22"/>
          <w:szCs w:val="22"/>
          <w:lang w:val="es-ES"/>
        </w:rPr>
      </w:pPr>
    </w:p>
    <w:p w14:paraId="161F51AF" w14:textId="77777777" w:rsidR="009E7A89" w:rsidRDefault="009E7A89" w:rsidP="009E7A89">
      <w:pPr>
        <w:pStyle w:val="Prrafodelista"/>
        <w:numPr>
          <w:ilvl w:val="0"/>
          <w:numId w:val="3"/>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Operadores que ordenan envasar vino a terceros, dado que no disponen de instalaciones propias.</w:t>
      </w:r>
    </w:p>
    <w:p w14:paraId="4A8D624B" w14:textId="77777777" w:rsidR="009E7A89" w:rsidRDefault="009E7A89" w:rsidP="009E7A89">
      <w:pPr>
        <w:pStyle w:val="Standard"/>
        <w:spacing w:line="276" w:lineRule="auto"/>
        <w:rPr>
          <w:rFonts w:ascii="Noto Sans" w:hAnsi="Noto Sans" w:cs="Noto Sans"/>
          <w:sz w:val="22"/>
          <w:szCs w:val="22"/>
          <w:lang w:val="es-ES"/>
        </w:rPr>
      </w:pPr>
    </w:p>
    <w:p w14:paraId="2D00A82C" w14:textId="77777777" w:rsidR="009E7A89" w:rsidRDefault="009E7A89" w:rsidP="009E7A89">
      <w:pPr>
        <w:pStyle w:val="Prrafodelista"/>
        <w:numPr>
          <w:ilvl w:val="0"/>
          <w:numId w:val="9"/>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A efectos administrativos, la inscripción registral en el REDIB se identifica con una referencia alfanumérica.</w:t>
      </w:r>
    </w:p>
    <w:p w14:paraId="0D405A0F" w14:textId="77777777" w:rsidR="009E7A89" w:rsidRDefault="009E7A89" w:rsidP="009E7A89">
      <w:pPr>
        <w:pStyle w:val="Prrafodelista"/>
        <w:spacing w:line="276" w:lineRule="auto"/>
        <w:jc w:val="both"/>
        <w:rPr>
          <w:lang w:val="es-ES"/>
        </w:rPr>
      </w:pPr>
    </w:p>
    <w:p w14:paraId="78CB9C28" w14:textId="66DAAC05" w:rsidR="009E7A89" w:rsidRDefault="009E7A89" w:rsidP="009E7A89">
      <w:pPr>
        <w:pStyle w:val="Prrafodelista"/>
        <w:numPr>
          <w:ilvl w:val="0"/>
          <w:numId w:val="9"/>
        </w:numPr>
        <w:autoSpaceDN w:val="0"/>
        <w:spacing w:line="276" w:lineRule="auto"/>
        <w:contextualSpacing w:val="0"/>
        <w:jc w:val="both"/>
        <w:textAlignment w:val="baseline"/>
      </w:pPr>
      <w:r>
        <w:rPr>
          <w:rFonts w:ascii="Noto Sans" w:hAnsi="Noto Sans" w:cs="Noto Sans"/>
          <w:sz w:val="22"/>
          <w:szCs w:val="22"/>
          <w:lang w:val="es-ES" w:eastAsia="zh-CN"/>
        </w:rPr>
        <w:t>En el cas</w:t>
      </w:r>
      <w:r w:rsidR="001321D3">
        <w:rPr>
          <w:rFonts w:ascii="Noto Sans" w:hAnsi="Noto Sans" w:cs="Noto Sans"/>
          <w:sz w:val="22"/>
          <w:szCs w:val="22"/>
          <w:lang w:val="es-ES" w:eastAsia="zh-CN"/>
        </w:rPr>
        <w:t>o</w:t>
      </w:r>
      <w:r>
        <w:rPr>
          <w:rFonts w:ascii="Noto Sans" w:hAnsi="Noto Sans" w:cs="Noto Sans"/>
          <w:sz w:val="22"/>
          <w:szCs w:val="22"/>
          <w:lang w:val="es-ES" w:eastAsia="zh-CN"/>
        </w:rPr>
        <w:t xml:space="preserve"> de los operadores del ámbito de Mallorca, quien asignará el número de inscripción será la Dirección General de Políticas para la Soberanía Alimentaria.</w:t>
      </w:r>
    </w:p>
    <w:p w14:paraId="363298E7" w14:textId="77777777" w:rsidR="009E7A89" w:rsidRDefault="009E7A89" w:rsidP="009E7A89">
      <w:pPr>
        <w:pStyle w:val="Standard"/>
        <w:spacing w:line="276" w:lineRule="auto"/>
        <w:jc w:val="both"/>
        <w:rPr>
          <w:rFonts w:ascii="Noto Sans" w:hAnsi="Noto Sans" w:cs="Noto Sans"/>
          <w:b/>
          <w:sz w:val="22"/>
          <w:szCs w:val="22"/>
          <w:lang w:val="es-ES"/>
        </w:rPr>
      </w:pPr>
    </w:p>
    <w:p w14:paraId="4E209ED3" w14:textId="5517428F" w:rsidR="009E7A89" w:rsidRDefault="009E7A89" w:rsidP="009E7A89">
      <w:pPr>
        <w:pStyle w:val="Prrafodelista"/>
        <w:numPr>
          <w:ilvl w:val="0"/>
          <w:numId w:val="9"/>
        </w:numPr>
        <w:autoSpaceDN w:val="0"/>
        <w:spacing w:line="276" w:lineRule="auto"/>
        <w:contextualSpacing w:val="0"/>
        <w:jc w:val="both"/>
        <w:textAlignment w:val="baseline"/>
      </w:pPr>
      <w:r>
        <w:rPr>
          <w:rFonts w:ascii="Noto Sans" w:hAnsi="Noto Sans" w:cs="Noto Sans"/>
          <w:sz w:val="22"/>
          <w:szCs w:val="22"/>
          <w:lang w:val="es-ES" w:eastAsia="zh-CN"/>
        </w:rPr>
        <w:t>En relación a los envasadores que operen en las islas de Eivissa, Menorca y Formentera, los conse</w:t>
      </w:r>
      <w:r w:rsidR="001321D3">
        <w:rPr>
          <w:rFonts w:ascii="Noto Sans" w:hAnsi="Noto Sans" w:cs="Noto Sans"/>
          <w:sz w:val="22"/>
          <w:szCs w:val="22"/>
          <w:lang w:val="es-ES" w:eastAsia="zh-CN"/>
        </w:rPr>
        <w:t>jo</w:t>
      </w:r>
      <w:r>
        <w:rPr>
          <w:rFonts w:ascii="Noto Sans" w:hAnsi="Noto Sans" w:cs="Noto Sans"/>
          <w:sz w:val="22"/>
          <w:szCs w:val="22"/>
          <w:lang w:val="es-ES" w:eastAsia="zh-CN"/>
        </w:rPr>
        <w:t>s insular</w:t>
      </w:r>
      <w:r w:rsidR="001321D3">
        <w:rPr>
          <w:rFonts w:ascii="Noto Sans" w:hAnsi="Noto Sans" w:cs="Noto Sans"/>
          <w:sz w:val="22"/>
          <w:szCs w:val="22"/>
          <w:lang w:val="es-ES" w:eastAsia="zh-CN"/>
        </w:rPr>
        <w:t>e</w:t>
      </w:r>
      <w:r>
        <w:rPr>
          <w:rFonts w:ascii="Noto Sans" w:hAnsi="Noto Sans" w:cs="Noto Sans"/>
          <w:sz w:val="22"/>
          <w:szCs w:val="22"/>
          <w:lang w:val="es-ES" w:eastAsia="zh-CN"/>
        </w:rPr>
        <w:t>s proporcionarán los datos de los operadores respectivos a la Dirección General de Políticas para la Soberanía Alimentaria, que las incorporará en el Registro de Envasadores de Vinos y Bebidas Alcohólicas de l</w:t>
      </w:r>
      <w:r w:rsidR="001321D3">
        <w:rPr>
          <w:rFonts w:ascii="Noto Sans" w:hAnsi="Noto Sans" w:cs="Noto Sans"/>
          <w:sz w:val="22"/>
          <w:szCs w:val="22"/>
          <w:lang w:val="es-ES" w:eastAsia="zh-CN"/>
        </w:rPr>
        <w:t>a</w:t>
      </w:r>
      <w:r>
        <w:rPr>
          <w:rFonts w:ascii="Noto Sans" w:hAnsi="Noto Sans" w:cs="Noto Sans"/>
          <w:sz w:val="22"/>
          <w:szCs w:val="22"/>
          <w:lang w:val="es-ES" w:eastAsia="zh-CN"/>
        </w:rPr>
        <w:t xml:space="preserve">s Illes Balears, con el número asignado por los </w:t>
      </w:r>
      <w:r w:rsidR="001321D3" w:rsidRPr="001321D3">
        <w:rPr>
          <w:rFonts w:ascii="Noto Sans" w:hAnsi="Noto Sans" w:cs="Noto Sans"/>
          <w:sz w:val="22"/>
          <w:szCs w:val="22"/>
          <w:lang w:val="es-ES" w:eastAsia="zh-CN"/>
        </w:rPr>
        <w:t>consejos insulares</w:t>
      </w:r>
      <w:r>
        <w:rPr>
          <w:rFonts w:ascii="Noto Sans" w:hAnsi="Noto Sans" w:cs="Noto Sans"/>
          <w:sz w:val="22"/>
          <w:szCs w:val="22"/>
          <w:lang w:val="es-ES" w:eastAsia="zh-CN"/>
        </w:rPr>
        <w:t>.</w:t>
      </w:r>
    </w:p>
    <w:p w14:paraId="5479D460" w14:textId="77777777" w:rsidR="009E7A89" w:rsidRDefault="009E7A89" w:rsidP="009E7A89">
      <w:pPr>
        <w:pStyle w:val="Prrafodelista"/>
        <w:rPr>
          <w:lang w:val="es-ES"/>
        </w:rPr>
      </w:pPr>
    </w:p>
    <w:p w14:paraId="60D54AE7" w14:textId="77777777" w:rsidR="009E7A89" w:rsidRDefault="009E7A89" w:rsidP="009E7A89">
      <w:pPr>
        <w:pStyle w:val="Prrafodelista"/>
        <w:spacing w:line="276" w:lineRule="auto"/>
        <w:jc w:val="both"/>
        <w:rPr>
          <w:rFonts w:ascii="Noto Sans" w:hAnsi="Noto Sans" w:cs="Noto Sans"/>
          <w:sz w:val="22"/>
          <w:szCs w:val="22"/>
          <w:lang w:val="es-ES"/>
        </w:rPr>
      </w:pPr>
    </w:p>
    <w:p w14:paraId="71A76C90" w14:textId="77777777" w:rsidR="009E7A89" w:rsidRDefault="009E7A89"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Artículo 5</w:t>
      </w:r>
    </w:p>
    <w:p w14:paraId="3EFCB8B0" w14:textId="77777777" w:rsidR="009E7A89" w:rsidRDefault="009E7A89"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Documentación necesaria para la inscripción en el Registro de Envasadores de Vinos y Bebidas Alcohólicas de les Illes Balears (REDIB) de los operadores ubicados en la isla de Mallorca</w:t>
      </w:r>
    </w:p>
    <w:p w14:paraId="004612D4" w14:textId="77777777" w:rsidR="009E7A89" w:rsidRDefault="009E7A89" w:rsidP="009E7A89">
      <w:pPr>
        <w:pStyle w:val="Standard"/>
        <w:spacing w:line="276" w:lineRule="auto"/>
        <w:rPr>
          <w:rFonts w:ascii="Noto Sans" w:hAnsi="Noto Sans" w:cs="Noto Sans"/>
          <w:b/>
          <w:sz w:val="22"/>
          <w:szCs w:val="22"/>
          <w:lang w:val="es-ES"/>
        </w:rPr>
      </w:pPr>
    </w:p>
    <w:p w14:paraId="1B4D0F28" w14:textId="6296F500" w:rsidR="009E7A89" w:rsidRDefault="009E7A89" w:rsidP="009E7A89">
      <w:pPr>
        <w:pStyle w:val="Prrafodelista"/>
        <w:numPr>
          <w:ilvl w:val="0"/>
          <w:numId w:val="22"/>
        </w:numPr>
        <w:autoSpaceDN w:val="0"/>
        <w:spacing w:line="276" w:lineRule="auto"/>
        <w:contextualSpacing w:val="0"/>
        <w:jc w:val="both"/>
        <w:textAlignment w:val="baseline"/>
      </w:pPr>
      <w:r>
        <w:rPr>
          <w:rFonts w:ascii="Noto Sans" w:hAnsi="Noto Sans" w:cs="Noto Sans"/>
          <w:sz w:val="22"/>
          <w:szCs w:val="22"/>
          <w:lang w:val="es-ES" w:eastAsia="zh-CN"/>
        </w:rPr>
        <w:t>Los operadores ubicados en la isla de Mallorca interesados en inscribirse en el Registro de Envasadores de Vinos y Bebidas Alcohólicas de les Illes Balears (REDIB)</w:t>
      </w:r>
      <w:r>
        <w:rPr>
          <w:rFonts w:ascii="Noto Sans" w:hAnsi="Noto Sans" w:cs="Noto Sans"/>
          <w:b/>
          <w:sz w:val="22"/>
          <w:szCs w:val="22"/>
          <w:lang w:val="es-ES" w:eastAsia="zh-CN"/>
        </w:rPr>
        <w:t xml:space="preserve"> </w:t>
      </w:r>
      <w:r>
        <w:rPr>
          <w:rFonts w:ascii="Noto Sans" w:hAnsi="Noto Sans" w:cs="Noto Sans"/>
          <w:sz w:val="22"/>
          <w:szCs w:val="22"/>
          <w:lang w:val="es-ES" w:eastAsia="zh-CN"/>
        </w:rPr>
        <w:t>deberán presentar una declaración responsable de inicio de actividad, ante la Dirección General de Políticas para la Soberanía Alimentaria, de acuerdo con el modelo establecido al efecto (anexo 1), y acompañarlo de la siguiente documentación:</w:t>
      </w:r>
    </w:p>
    <w:p w14:paraId="764B3796" w14:textId="77777777" w:rsidR="009E7A89" w:rsidRDefault="009E7A89" w:rsidP="009E7A89">
      <w:pPr>
        <w:pStyle w:val="Standard"/>
        <w:spacing w:line="276" w:lineRule="auto"/>
        <w:ind w:left="284"/>
        <w:rPr>
          <w:lang w:val="es-ES"/>
        </w:rPr>
      </w:pPr>
    </w:p>
    <w:p w14:paraId="3EA07DB6" w14:textId="77777777" w:rsidR="009E7A89" w:rsidRDefault="009E7A89" w:rsidP="009E7A89">
      <w:pPr>
        <w:pStyle w:val="Prrafodelista"/>
        <w:numPr>
          <w:ilvl w:val="0"/>
          <w:numId w:val="23"/>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Copia del NIF</w:t>
      </w:r>
    </w:p>
    <w:p w14:paraId="2E0391A6" w14:textId="77777777" w:rsidR="009E7A89" w:rsidRDefault="009E7A89" w:rsidP="009E7A89">
      <w:pPr>
        <w:pStyle w:val="Prrafodelista"/>
        <w:numPr>
          <w:ilvl w:val="0"/>
          <w:numId w:val="10"/>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En caso de personas jurídicas, escritura de constitución, documento que acredite el poder de representación y copia del NIF de la persona que la represente.</w:t>
      </w:r>
    </w:p>
    <w:p w14:paraId="59F761AC" w14:textId="77777777" w:rsidR="009E7A89" w:rsidRDefault="009E7A89" w:rsidP="009E7A89">
      <w:pPr>
        <w:pStyle w:val="Prrafodelista"/>
        <w:numPr>
          <w:ilvl w:val="0"/>
          <w:numId w:val="10"/>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Acreditación que figura inscrito en la clave 30 del Registro General Sanitario de Empresas Alimentarias y Alimentos (RGSEAA).</w:t>
      </w:r>
    </w:p>
    <w:p w14:paraId="026AF18F" w14:textId="77777777" w:rsidR="009E7A89" w:rsidRDefault="009E7A89" w:rsidP="009E7A89">
      <w:pPr>
        <w:pStyle w:val="Prrafodelista"/>
        <w:numPr>
          <w:ilvl w:val="0"/>
          <w:numId w:val="10"/>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Acreditación de la titularidad del lugar dónde se realizará la actividad de envasado.</w:t>
      </w:r>
    </w:p>
    <w:p w14:paraId="5BC1A7E8" w14:textId="77777777" w:rsidR="009E7A89" w:rsidRDefault="009E7A89" w:rsidP="009E7A89">
      <w:pPr>
        <w:pStyle w:val="Prrafodelista"/>
        <w:numPr>
          <w:ilvl w:val="0"/>
          <w:numId w:val="10"/>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Croquis de las instalaciones y memoria descriptiva de los equipos, medios y procesos para envasar.</w:t>
      </w:r>
    </w:p>
    <w:p w14:paraId="2F534886" w14:textId="77777777" w:rsidR="009E7A89" w:rsidRDefault="009E7A89" w:rsidP="009E7A89">
      <w:pPr>
        <w:pStyle w:val="Prrafodelista"/>
        <w:spacing w:line="276" w:lineRule="auto"/>
        <w:jc w:val="both"/>
        <w:rPr>
          <w:rFonts w:ascii="Noto Sans" w:hAnsi="Noto Sans" w:cs="Noto Sans"/>
          <w:sz w:val="22"/>
          <w:szCs w:val="22"/>
          <w:lang w:val="es-ES"/>
        </w:rPr>
      </w:pPr>
    </w:p>
    <w:p w14:paraId="291213F9" w14:textId="77777777" w:rsidR="009E7A89" w:rsidRDefault="009E7A89" w:rsidP="009E7A89">
      <w:pPr>
        <w:pStyle w:val="Prrafodelista"/>
        <w:numPr>
          <w:ilvl w:val="0"/>
          <w:numId w:val="8"/>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En el caso de utilizar una planta de envasado móvil, deberán presentar, además, un contrato de prestación de servicios con el titular de la planta móvil dónde se dejará constancia del tiempo de duración del mismo.</w:t>
      </w:r>
    </w:p>
    <w:p w14:paraId="35950263" w14:textId="77777777" w:rsidR="009E7A89" w:rsidRDefault="009E7A89" w:rsidP="009E7A89">
      <w:pPr>
        <w:pStyle w:val="Standard"/>
        <w:spacing w:line="276" w:lineRule="auto"/>
        <w:rPr>
          <w:rFonts w:ascii="Noto Sans" w:eastAsia="Noto Sans" w:hAnsi="Noto Sans" w:cs="Noto Sans"/>
          <w:sz w:val="22"/>
          <w:szCs w:val="22"/>
          <w:lang w:val="es-ES"/>
        </w:rPr>
      </w:pPr>
      <w:r>
        <w:rPr>
          <w:rFonts w:ascii="Noto Sans" w:eastAsia="Noto Sans" w:hAnsi="Noto Sans" w:cs="Noto Sans"/>
          <w:sz w:val="22"/>
          <w:szCs w:val="22"/>
          <w:lang w:val="es-ES"/>
        </w:rPr>
        <w:t xml:space="preserve"> </w:t>
      </w:r>
    </w:p>
    <w:p w14:paraId="30895C05" w14:textId="2AAD219A" w:rsidR="009E7A89" w:rsidRDefault="009E7A89" w:rsidP="009E7A89">
      <w:pPr>
        <w:pStyle w:val="Prrafodelista"/>
        <w:numPr>
          <w:ilvl w:val="0"/>
          <w:numId w:val="24"/>
        </w:numPr>
        <w:autoSpaceDN w:val="0"/>
        <w:spacing w:line="276" w:lineRule="auto"/>
        <w:contextualSpacing w:val="0"/>
        <w:jc w:val="both"/>
        <w:textAlignment w:val="baseline"/>
      </w:pPr>
      <w:r>
        <w:rPr>
          <w:rFonts w:ascii="Noto Sans" w:hAnsi="Noto Sans" w:cs="Noto Sans"/>
          <w:sz w:val="22"/>
          <w:szCs w:val="22"/>
          <w:lang w:val="es-ES" w:eastAsia="zh-CN"/>
        </w:rPr>
        <w:t>En el caso de operadores que ordenen envasar vinos por cuenta propia en instalaciones de terceros, éstas deberán estar inscritas en el Registro de Envasadores de Vinos y Bebidas Alcohólicas de les Illes Balears (REDIB), y además deberán presentar, de acuerdo con el modelo establecido a tal efecto (anexo 2), la siguiente documentación:</w:t>
      </w:r>
    </w:p>
    <w:p w14:paraId="209BED4E" w14:textId="77777777" w:rsidR="009E7A89" w:rsidRDefault="009E7A89" w:rsidP="009E7A89">
      <w:pPr>
        <w:pStyle w:val="Prrafodelista"/>
        <w:spacing w:line="276" w:lineRule="auto"/>
        <w:jc w:val="both"/>
        <w:rPr>
          <w:lang w:val="es-ES"/>
        </w:rPr>
      </w:pPr>
    </w:p>
    <w:p w14:paraId="18EB99BD" w14:textId="4EEECFBC" w:rsidR="009E7A89" w:rsidRDefault="009E7A89" w:rsidP="009E7A89">
      <w:pPr>
        <w:pStyle w:val="Prrafodelista"/>
        <w:numPr>
          <w:ilvl w:val="1"/>
          <w:numId w:val="14"/>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Copia del NIF</w:t>
      </w:r>
      <w:r w:rsidR="00D75D16">
        <w:rPr>
          <w:rFonts w:ascii="Noto Sans" w:hAnsi="Noto Sans" w:cs="Noto Sans"/>
          <w:sz w:val="22"/>
          <w:szCs w:val="22"/>
          <w:lang w:val="es-ES" w:eastAsia="zh-CN"/>
        </w:rPr>
        <w:t>.</w:t>
      </w:r>
    </w:p>
    <w:p w14:paraId="21759751" w14:textId="77777777" w:rsidR="009E7A89" w:rsidRDefault="009E7A89" w:rsidP="009E7A89">
      <w:pPr>
        <w:pStyle w:val="Prrafodelista"/>
        <w:numPr>
          <w:ilvl w:val="1"/>
          <w:numId w:val="14"/>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En caso de personas jurídicas, escritura de constitución, documento que acredite el poder de representación y copia del NIF de la persona que la represente.</w:t>
      </w:r>
    </w:p>
    <w:p w14:paraId="373AC5FC" w14:textId="77777777" w:rsidR="009E7A89" w:rsidRDefault="009E7A89" w:rsidP="009E7A89">
      <w:pPr>
        <w:pStyle w:val="Prrafodelista"/>
        <w:numPr>
          <w:ilvl w:val="1"/>
          <w:numId w:val="14"/>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Acreditación que figura inscrito en el Registro General Sanitario de Empresas Alimentarias y Alimentos para la actividad de distribución o comercialización de vinos.</w:t>
      </w:r>
    </w:p>
    <w:p w14:paraId="64CA19EE" w14:textId="2BCA88DC" w:rsidR="009E7A89" w:rsidRDefault="009E7A89" w:rsidP="009E7A89">
      <w:pPr>
        <w:pStyle w:val="Prrafodelista"/>
        <w:numPr>
          <w:ilvl w:val="1"/>
          <w:numId w:val="14"/>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 xml:space="preserve">Contrato con el titular de las instalaciones dónde se </w:t>
      </w:r>
      <w:r w:rsidR="00B3721A">
        <w:rPr>
          <w:rFonts w:ascii="Noto Sans" w:hAnsi="Noto Sans" w:cs="Noto Sans"/>
          <w:sz w:val="22"/>
          <w:szCs w:val="22"/>
          <w:lang w:val="es-ES" w:eastAsia="zh-CN"/>
        </w:rPr>
        <w:t>realizará</w:t>
      </w:r>
      <w:r>
        <w:rPr>
          <w:rFonts w:ascii="Noto Sans" w:hAnsi="Noto Sans" w:cs="Noto Sans"/>
          <w:sz w:val="22"/>
          <w:szCs w:val="22"/>
          <w:lang w:val="es-ES" w:eastAsia="zh-CN"/>
        </w:rPr>
        <w:t xml:space="preserve"> el envasado, dónde se dejará constancia de las condiciones y del periodo de duración del contrato.</w:t>
      </w:r>
    </w:p>
    <w:p w14:paraId="3851A0F2" w14:textId="77777777" w:rsidR="009E7A89" w:rsidRDefault="009E7A89" w:rsidP="009E7A89">
      <w:pPr>
        <w:pStyle w:val="Standard"/>
        <w:spacing w:line="276" w:lineRule="auto"/>
        <w:jc w:val="both"/>
        <w:rPr>
          <w:rFonts w:ascii="Noto Sans" w:hAnsi="Noto Sans" w:cs="Noto Sans"/>
          <w:sz w:val="22"/>
          <w:szCs w:val="22"/>
          <w:lang w:val="es-ES"/>
        </w:rPr>
      </w:pPr>
    </w:p>
    <w:p w14:paraId="2E982374" w14:textId="77777777" w:rsidR="009E7A89" w:rsidRDefault="009E7A89" w:rsidP="009E7A89">
      <w:pPr>
        <w:pStyle w:val="Prrafodelista"/>
        <w:numPr>
          <w:ilvl w:val="0"/>
          <w:numId w:val="14"/>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En el caso que se pretenda sustituir la razón social por un nombre comercial en el etiquetado de los vinos, tal como prevé el Real Decreto 1363/2011, deberá aportar la inscripción de este nombre comercial, a favor de la persona que lo solicita, en el Registro de la Oficina Española de Patentes y Marcas y para los productos en los que se quiere utilizar.</w:t>
      </w:r>
    </w:p>
    <w:p w14:paraId="1D94F42E" w14:textId="3EA86E5B" w:rsidR="009E7A89" w:rsidRDefault="009E7A89" w:rsidP="009E7A89">
      <w:pPr>
        <w:pStyle w:val="Standard"/>
        <w:spacing w:line="276" w:lineRule="auto"/>
        <w:jc w:val="both"/>
        <w:rPr>
          <w:rFonts w:ascii="Noto Sans" w:hAnsi="Noto Sans" w:cs="Noto Sans"/>
          <w:b/>
          <w:sz w:val="22"/>
          <w:szCs w:val="22"/>
          <w:lang w:val="es-ES"/>
        </w:rPr>
      </w:pPr>
    </w:p>
    <w:p w14:paraId="5E9E66D5" w14:textId="77777777" w:rsidR="002B129A" w:rsidRDefault="002B129A" w:rsidP="009E7A89">
      <w:pPr>
        <w:pStyle w:val="Standard"/>
        <w:spacing w:line="276" w:lineRule="auto"/>
        <w:jc w:val="both"/>
        <w:rPr>
          <w:rFonts w:ascii="Noto Sans" w:hAnsi="Noto Sans" w:cs="Noto Sans"/>
          <w:b/>
          <w:sz w:val="22"/>
          <w:szCs w:val="22"/>
          <w:lang w:val="es-ES"/>
        </w:rPr>
      </w:pPr>
    </w:p>
    <w:p w14:paraId="766856C9" w14:textId="77777777" w:rsidR="009E7A89" w:rsidRDefault="009E7A89"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Artículo 6</w:t>
      </w:r>
    </w:p>
    <w:p w14:paraId="1BD64134" w14:textId="77777777" w:rsidR="009E7A89" w:rsidRDefault="009E7A89"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Procedimiento de inscripción de los operadores de la isla de Mallorca</w:t>
      </w:r>
    </w:p>
    <w:p w14:paraId="059015D3" w14:textId="77777777" w:rsidR="009E7A89" w:rsidRDefault="009E7A89" w:rsidP="009E7A89">
      <w:pPr>
        <w:pStyle w:val="Standard"/>
        <w:spacing w:line="276" w:lineRule="auto"/>
        <w:jc w:val="both"/>
        <w:rPr>
          <w:rFonts w:ascii="Noto Sans" w:hAnsi="Noto Sans" w:cs="Noto Sans"/>
          <w:sz w:val="22"/>
          <w:szCs w:val="22"/>
          <w:lang w:val="es-ES"/>
        </w:rPr>
      </w:pPr>
    </w:p>
    <w:p w14:paraId="03A20065" w14:textId="77777777" w:rsidR="009E7A89" w:rsidRDefault="009E7A89" w:rsidP="009E7A89">
      <w:pPr>
        <w:pStyle w:val="Prrafodelista"/>
        <w:numPr>
          <w:ilvl w:val="0"/>
          <w:numId w:val="25"/>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Presentada la declaración responsable de los operadores de la isla de Mallorca, se les asignará una numeración alfanumérica única y exclusiva.</w:t>
      </w:r>
    </w:p>
    <w:p w14:paraId="78F5D3C4" w14:textId="77777777" w:rsidR="009E7A89" w:rsidRDefault="009E7A89" w:rsidP="009E7A89">
      <w:pPr>
        <w:pStyle w:val="Prrafodelista"/>
        <w:spacing w:line="276" w:lineRule="auto"/>
        <w:jc w:val="both"/>
        <w:rPr>
          <w:rFonts w:ascii="Noto Sans" w:hAnsi="Noto Sans" w:cs="Noto Sans"/>
          <w:sz w:val="22"/>
          <w:szCs w:val="22"/>
          <w:lang w:val="es-ES"/>
        </w:rPr>
      </w:pPr>
    </w:p>
    <w:p w14:paraId="09CA056F" w14:textId="7A97C13D" w:rsidR="009E7A89" w:rsidRDefault="009E7A89" w:rsidP="009E7A89">
      <w:pPr>
        <w:pStyle w:val="Prrafodelista"/>
        <w:numPr>
          <w:ilvl w:val="0"/>
          <w:numId w:val="11"/>
        </w:numPr>
        <w:autoSpaceDN w:val="0"/>
        <w:spacing w:line="276" w:lineRule="auto"/>
        <w:contextualSpacing w:val="0"/>
        <w:jc w:val="both"/>
        <w:textAlignment w:val="baseline"/>
      </w:pPr>
      <w:r>
        <w:rPr>
          <w:rFonts w:ascii="Noto Sans" w:hAnsi="Noto Sans" w:cs="Noto Sans"/>
          <w:sz w:val="22"/>
          <w:szCs w:val="22"/>
          <w:lang w:val="es-ES" w:eastAsia="zh-CN"/>
        </w:rPr>
        <w:t xml:space="preserve">Una vez inscrito el operador, los servicios oficiales de control de </w:t>
      </w:r>
      <w:r w:rsidR="00B3721A" w:rsidRPr="00B3721A">
        <w:rPr>
          <w:rFonts w:ascii="Noto Sans" w:hAnsi="Noto Sans" w:cs="Noto Sans"/>
          <w:sz w:val="22"/>
          <w:szCs w:val="22"/>
          <w:lang w:val="es-ES" w:eastAsia="zh-CN"/>
        </w:rPr>
        <w:t>la Dirección General de Políticas para la Soberanía Alimentaria</w:t>
      </w:r>
      <w:r>
        <w:rPr>
          <w:rFonts w:ascii="Noto Sans" w:hAnsi="Noto Sans" w:cs="Noto Sans"/>
          <w:sz w:val="22"/>
          <w:szCs w:val="22"/>
          <w:lang w:val="es-ES" w:eastAsia="zh-CN"/>
        </w:rPr>
        <w:t xml:space="preserve"> podrán verificar en cualquier momento la conformidad de los datos declarados por el responsable y comprobar in situ el cumplimiento de los requisitos que establece este decreto. Los operadores inscritos deben tener a disposición de los servicios oficiales de control toda la documentación que acredite los datos de la declaración responsable, para que las pueda verificar, así como otra documentación acreditativa que cumpla con los requisitos establecidos por la normativa vitivinícola o de bebidas alcohólicas que les sea de aplicación.</w:t>
      </w:r>
    </w:p>
    <w:p w14:paraId="263F3749" w14:textId="77777777" w:rsidR="009E7A89" w:rsidRDefault="009E7A89" w:rsidP="009E7A89">
      <w:pPr>
        <w:pStyle w:val="Standard"/>
        <w:spacing w:line="276" w:lineRule="auto"/>
        <w:jc w:val="both"/>
        <w:rPr>
          <w:rFonts w:ascii="Noto Sans" w:hAnsi="Noto Sans" w:cs="Noto Sans"/>
          <w:sz w:val="22"/>
          <w:szCs w:val="22"/>
          <w:lang w:val="es-ES"/>
        </w:rPr>
      </w:pPr>
    </w:p>
    <w:p w14:paraId="6238BBB1" w14:textId="77777777" w:rsidR="009E7A89" w:rsidRDefault="009E7A89" w:rsidP="009E7A89">
      <w:pPr>
        <w:pStyle w:val="Prrafodelista"/>
        <w:numPr>
          <w:ilvl w:val="0"/>
          <w:numId w:val="11"/>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Si en las comprobaciones realizadas se detecta falsedad o inexactitud de los datos declarados, se puede suspender la actividad de envasado, previa audiencia de la persona interesada; sin perjuicio que, si procede, se pueda incoar un expediente de baja en el registro o, si corresponde, un expediente sancionador.</w:t>
      </w:r>
    </w:p>
    <w:p w14:paraId="35855CC7" w14:textId="77777777" w:rsidR="009E7A89" w:rsidRDefault="009E7A89" w:rsidP="009E7A89">
      <w:pPr>
        <w:pStyle w:val="Standard"/>
        <w:spacing w:line="276" w:lineRule="auto"/>
        <w:jc w:val="both"/>
        <w:rPr>
          <w:rFonts w:ascii="Noto Sans" w:hAnsi="Noto Sans" w:cs="Noto Sans"/>
          <w:sz w:val="22"/>
          <w:szCs w:val="22"/>
          <w:lang w:val="es-ES"/>
        </w:rPr>
      </w:pPr>
    </w:p>
    <w:p w14:paraId="58451236" w14:textId="77777777" w:rsidR="009E7A89" w:rsidRDefault="009E7A89" w:rsidP="009E7A89">
      <w:pPr>
        <w:pStyle w:val="Prrafodelista"/>
        <w:numPr>
          <w:ilvl w:val="0"/>
          <w:numId w:val="11"/>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Si se detectan deficiencias graves, los servicios oficiales de control pueden adoptar la suspensión de la actividad de envasado, medida que se tendrá que ratificar, modificar o levantar mediante resolución motivada, con audiencia previa de la persona interesada.</w:t>
      </w:r>
    </w:p>
    <w:p w14:paraId="6CD88C3D" w14:textId="77777777" w:rsidR="009E7A89" w:rsidRDefault="009E7A89" w:rsidP="009E7A89">
      <w:pPr>
        <w:pStyle w:val="Standard"/>
        <w:spacing w:line="276" w:lineRule="auto"/>
        <w:jc w:val="both"/>
        <w:rPr>
          <w:rFonts w:ascii="Noto Sans" w:hAnsi="Noto Sans" w:cs="Noto Sans"/>
          <w:sz w:val="22"/>
          <w:szCs w:val="22"/>
          <w:lang w:val="es-ES"/>
        </w:rPr>
      </w:pPr>
    </w:p>
    <w:p w14:paraId="4A88EC35" w14:textId="77777777" w:rsidR="009E7A89" w:rsidRDefault="009E7A89" w:rsidP="009E7A89">
      <w:pPr>
        <w:pStyle w:val="Standard"/>
        <w:spacing w:line="276" w:lineRule="auto"/>
        <w:jc w:val="both"/>
        <w:rPr>
          <w:rFonts w:ascii="Noto Sans" w:hAnsi="Noto Sans" w:cs="Noto Sans"/>
          <w:b/>
          <w:sz w:val="22"/>
          <w:szCs w:val="22"/>
          <w:lang w:val="es-ES"/>
        </w:rPr>
      </w:pPr>
    </w:p>
    <w:p w14:paraId="01DA8466" w14:textId="77777777" w:rsidR="009E7A89" w:rsidRDefault="009E7A89" w:rsidP="009E7A89">
      <w:pPr>
        <w:pStyle w:val="Standard"/>
        <w:spacing w:line="276" w:lineRule="auto"/>
        <w:jc w:val="both"/>
        <w:rPr>
          <w:rFonts w:ascii="Noto Sans" w:hAnsi="Noto Sans" w:cs="Noto Sans"/>
          <w:b/>
          <w:sz w:val="22"/>
          <w:szCs w:val="22"/>
          <w:lang w:val="es-ES"/>
        </w:rPr>
      </w:pPr>
    </w:p>
    <w:p w14:paraId="3715FA0C" w14:textId="77777777" w:rsidR="009E7A89" w:rsidRDefault="009E7A89" w:rsidP="009E7A89">
      <w:pPr>
        <w:pStyle w:val="Standard"/>
        <w:spacing w:line="276" w:lineRule="auto"/>
        <w:jc w:val="both"/>
        <w:rPr>
          <w:rFonts w:ascii="Noto Sans" w:hAnsi="Noto Sans" w:cs="Noto Sans"/>
          <w:b/>
          <w:sz w:val="22"/>
          <w:szCs w:val="22"/>
          <w:lang w:val="es-ES"/>
        </w:rPr>
      </w:pPr>
    </w:p>
    <w:p w14:paraId="612672A8" w14:textId="77777777" w:rsidR="009E7A89" w:rsidRDefault="009E7A89"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Artículo 7</w:t>
      </w:r>
    </w:p>
    <w:p w14:paraId="1B096EC6" w14:textId="77777777" w:rsidR="009E7A89" w:rsidRDefault="009E7A89"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Informaciones que tienen carácter público del Registro de Envasadores de Vinos y Bebidas Alcohólicas de las Illes Balears (REDIB)</w:t>
      </w:r>
    </w:p>
    <w:p w14:paraId="53EB704E" w14:textId="77777777" w:rsidR="009E7A89" w:rsidRDefault="009E7A89" w:rsidP="009E7A89">
      <w:pPr>
        <w:pStyle w:val="Standard"/>
        <w:spacing w:line="276" w:lineRule="auto"/>
        <w:rPr>
          <w:rFonts w:ascii="Noto Sans" w:hAnsi="Noto Sans" w:cs="Noto Sans"/>
          <w:b/>
          <w:sz w:val="22"/>
          <w:szCs w:val="22"/>
          <w:lang w:val="es-ES"/>
        </w:rPr>
      </w:pPr>
    </w:p>
    <w:p w14:paraId="0A403A07" w14:textId="77777777" w:rsidR="009E7A89" w:rsidRDefault="009E7A89" w:rsidP="009E7A89">
      <w:pPr>
        <w:pStyle w:val="Prrafodelista"/>
        <w:numPr>
          <w:ilvl w:val="0"/>
          <w:numId w:val="26"/>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La información del Registro de Envasadores de Vinos y Bebidas Alcohólicas de las Illes Balears (REDIB) que tiene carácter público es la siguiente:</w:t>
      </w:r>
    </w:p>
    <w:p w14:paraId="5CFEE247" w14:textId="77777777" w:rsidR="009E7A89" w:rsidRDefault="009E7A89" w:rsidP="009E7A89">
      <w:pPr>
        <w:pStyle w:val="Prrafodelista"/>
        <w:spacing w:line="276" w:lineRule="auto"/>
        <w:rPr>
          <w:rFonts w:ascii="Noto Sans" w:hAnsi="Noto Sans" w:cs="Noto Sans"/>
          <w:sz w:val="22"/>
          <w:szCs w:val="22"/>
          <w:lang w:val="es-ES"/>
        </w:rPr>
      </w:pPr>
    </w:p>
    <w:p w14:paraId="393B9F6D" w14:textId="77777777" w:rsidR="009E7A89" w:rsidRDefault="009E7A89" w:rsidP="009E7A89">
      <w:pPr>
        <w:pStyle w:val="Standard"/>
        <w:spacing w:line="276" w:lineRule="auto"/>
        <w:ind w:left="502"/>
        <w:jc w:val="both"/>
        <w:rPr>
          <w:rFonts w:ascii="Noto Sans" w:hAnsi="Noto Sans" w:cs="Noto Sans"/>
          <w:sz w:val="22"/>
          <w:szCs w:val="22"/>
          <w:lang w:val="es-ES"/>
        </w:rPr>
      </w:pPr>
      <w:r>
        <w:rPr>
          <w:rFonts w:ascii="Noto Sans" w:hAnsi="Noto Sans" w:cs="Noto Sans"/>
          <w:sz w:val="22"/>
          <w:szCs w:val="22"/>
          <w:lang w:val="es-ES"/>
        </w:rPr>
        <w:t>Número de registro</w:t>
      </w:r>
    </w:p>
    <w:p w14:paraId="3F5FE613" w14:textId="77777777" w:rsidR="009E7A89" w:rsidRDefault="009E7A89" w:rsidP="009E7A89">
      <w:pPr>
        <w:pStyle w:val="Standard"/>
        <w:spacing w:line="276" w:lineRule="auto"/>
        <w:ind w:left="502"/>
        <w:jc w:val="both"/>
        <w:rPr>
          <w:rFonts w:ascii="Noto Sans" w:hAnsi="Noto Sans" w:cs="Noto Sans"/>
          <w:sz w:val="22"/>
          <w:szCs w:val="22"/>
          <w:lang w:val="es-ES"/>
        </w:rPr>
      </w:pPr>
      <w:r>
        <w:rPr>
          <w:rFonts w:ascii="Noto Sans" w:hAnsi="Noto Sans" w:cs="Noto Sans"/>
          <w:sz w:val="22"/>
          <w:szCs w:val="22"/>
          <w:lang w:val="es-ES"/>
        </w:rPr>
        <w:t>Razón social</w:t>
      </w:r>
    </w:p>
    <w:p w14:paraId="5D0A39B2" w14:textId="77777777" w:rsidR="009E7A89" w:rsidRDefault="009E7A89" w:rsidP="009E7A89">
      <w:pPr>
        <w:pStyle w:val="Standard"/>
        <w:spacing w:line="276" w:lineRule="auto"/>
        <w:ind w:left="502"/>
        <w:jc w:val="both"/>
        <w:rPr>
          <w:rFonts w:ascii="Noto Sans" w:hAnsi="Noto Sans" w:cs="Noto Sans"/>
          <w:sz w:val="22"/>
          <w:szCs w:val="22"/>
          <w:lang w:val="es-ES"/>
        </w:rPr>
      </w:pPr>
      <w:r>
        <w:rPr>
          <w:rFonts w:ascii="Noto Sans" w:hAnsi="Noto Sans" w:cs="Noto Sans"/>
          <w:sz w:val="22"/>
          <w:szCs w:val="22"/>
          <w:lang w:val="es-ES"/>
        </w:rPr>
        <w:t>NIF</w:t>
      </w:r>
    </w:p>
    <w:p w14:paraId="6C5456D9" w14:textId="77777777" w:rsidR="009E7A89" w:rsidRDefault="009E7A89" w:rsidP="009E7A89">
      <w:pPr>
        <w:pStyle w:val="Standard"/>
        <w:spacing w:line="276" w:lineRule="auto"/>
        <w:ind w:left="502"/>
        <w:jc w:val="both"/>
        <w:rPr>
          <w:rFonts w:ascii="Noto Sans" w:hAnsi="Noto Sans" w:cs="Noto Sans"/>
          <w:sz w:val="22"/>
          <w:szCs w:val="22"/>
          <w:lang w:val="es-ES"/>
        </w:rPr>
      </w:pPr>
      <w:r>
        <w:rPr>
          <w:rFonts w:ascii="Noto Sans" w:hAnsi="Noto Sans" w:cs="Noto Sans"/>
          <w:sz w:val="22"/>
          <w:szCs w:val="22"/>
          <w:lang w:val="es-ES"/>
        </w:rPr>
        <w:t xml:space="preserve">Domicilio social                                                    </w:t>
      </w:r>
    </w:p>
    <w:p w14:paraId="7A94C654" w14:textId="77777777" w:rsidR="009E7A89" w:rsidRDefault="009E7A89" w:rsidP="009E7A89">
      <w:pPr>
        <w:pStyle w:val="Standard"/>
        <w:spacing w:line="276" w:lineRule="auto"/>
        <w:ind w:left="502"/>
        <w:jc w:val="both"/>
        <w:rPr>
          <w:rFonts w:ascii="Noto Sans" w:hAnsi="Noto Sans" w:cs="Noto Sans"/>
          <w:sz w:val="22"/>
          <w:szCs w:val="22"/>
          <w:lang w:val="es-ES"/>
        </w:rPr>
      </w:pPr>
      <w:r>
        <w:rPr>
          <w:rFonts w:ascii="Noto Sans" w:hAnsi="Noto Sans" w:cs="Noto Sans"/>
          <w:sz w:val="22"/>
          <w:szCs w:val="22"/>
          <w:lang w:val="es-ES"/>
        </w:rPr>
        <w:t>Domicilio del lugar dónde se realiza el envasado</w:t>
      </w:r>
    </w:p>
    <w:p w14:paraId="38897C54" w14:textId="2ADD48B5" w:rsidR="009E7A89" w:rsidRDefault="009E7A89" w:rsidP="009E7A89">
      <w:pPr>
        <w:pStyle w:val="Standard"/>
        <w:spacing w:line="276" w:lineRule="auto"/>
        <w:ind w:left="502"/>
        <w:jc w:val="both"/>
        <w:rPr>
          <w:rFonts w:ascii="Noto Sans" w:hAnsi="Noto Sans" w:cs="Noto Sans"/>
          <w:sz w:val="22"/>
          <w:szCs w:val="22"/>
          <w:lang w:val="es-ES"/>
        </w:rPr>
      </w:pPr>
      <w:r>
        <w:rPr>
          <w:rFonts w:ascii="Noto Sans" w:hAnsi="Noto Sans" w:cs="Noto Sans"/>
          <w:sz w:val="22"/>
          <w:szCs w:val="22"/>
          <w:lang w:val="es-ES"/>
        </w:rPr>
        <w:t xml:space="preserve">Tipo de envasado (instalaciones propias o de terceros)                                                  </w:t>
      </w:r>
    </w:p>
    <w:p w14:paraId="0D736714" w14:textId="77777777" w:rsidR="009E7A89" w:rsidRDefault="009E7A89" w:rsidP="009E7A89">
      <w:pPr>
        <w:pStyle w:val="Standard"/>
        <w:spacing w:line="276" w:lineRule="auto"/>
        <w:ind w:left="502"/>
        <w:jc w:val="both"/>
      </w:pPr>
      <w:r>
        <w:rPr>
          <w:rFonts w:ascii="Noto Sans" w:hAnsi="Noto Sans" w:cs="Noto Sans"/>
          <w:sz w:val="22"/>
          <w:szCs w:val="22"/>
          <w:lang w:val="es-ES"/>
        </w:rPr>
        <w:t>Nombre comercial registrado (</w:t>
      </w:r>
      <w:r>
        <w:rPr>
          <w:rFonts w:ascii="Noto Sans" w:hAnsi="Noto Sans" w:cs="Noto Sans"/>
          <w:i/>
          <w:sz w:val="22"/>
          <w:szCs w:val="22"/>
          <w:lang w:val="es-ES"/>
        </w:rPr>
        <w:t>si procede</w:t>
      </w:r>
      <w:r>
        <w:rPr>
          <w:rFonts w:ascii="Noto Sans" w:hAnsi="Noto Sans" w:cs="Noto Sans"/>
          <w:sz w:val="22"/>
          <w:szCs w:val="22"/>
          <w:lang w:val="es-ES"/>
        </w:rPr>
        <w:t>)</w:t>
      </w:r>
    </w:p>
    <w:p w14:paraId="1F462576" w14:textId="77777777" w:rsidR="009E7A89" w:rsidRDefault="009E7A89" w:rsidP="009E7A89">
      <w:pPr>
        <w:pStyle w:val="Standard"/>
        <w:spacing w:line="276" w:lineRule="auto"/>
        <w:ind w:left="502"/>
        <w:jc w:val="both"/>
        <w:rPr>
          <w:rFonts w:ascii="Noto Sans" w:hAnsi="Noto Sans" w:cs="Noto Sans"/>
          <w:sz w:val="22"/>
          <w:szCs w:val="22"/>
          <w:lang w:val="es-ES"/>
        </w:rPr>
      </w:pPr>
      <w:r>
        <w:rPr>
          <w:rFonts w:ascii="Noto Sans" w:hAnsi="Noto Sans" w:cs="Noto Sans"/>
          <w:sz w:val="22"/>
          <w:szCs w:val="22"/>
          <w:lang w:val="es-ES"/>
        </w:rPr>
        <w:t>Productos a envasar</w:t>
      </w:r>
    </w:p>
    <w:p w14:paraId="6117E65F" w14:textId="7DDBE80B" w:rsidR="009E7A89" w:rsidRDefault="009E7A89" w:rsidP="009E7A89">
      <w:pPr>
        <w:pStyle w:val="Standard"/>
        <w:spacing w:line="276" w:lineRule="auto"/>
        <w:ind w:left="502"/>
        <w:jc w:val="both"/>
        <w:rPr>
          <w:rFonts w:ascii="Noto Sans" w:hAnsi="Noto Sans" w:cs="Noto Sans"/>
          <w:sz w:val="22"/>
          <w:szCs w:val="22"/>
          <w:lang w:val="es-ES"/>
        </w:rPr>
      </w:pPr>
    </w:p>
    <w:p w14:paraId="7861F90F" w14:textId="77777777" w:rsidR="002B129A" w:rsidRDefault="002B129A" w:rsidP="009E7A89">
      <w:pPr>
        <w:pStyle w:val="Standard"/>
        <w:spacing w:line="276" w:lineRule="auto"/>
        <w:ind w:left="502"/>
        <w:jc w:val="both"/>
        <w:rPr>
          <w:rFonts w:ascii="Noto Sans" w:hAnsi="Noto Sans" w:cs="Noto Sans"/>
          <w:sz w:val="22"/>
          <w:szCs w:val="22"/>
          <w:lang w:val="es-ES"/>
        </w:rPr>
      </w:pPr>
    </w:p>
    <w:p w14:paraId="6CEDC7CA"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Artículo 8</w:t>
      </w:r>
    </w:p>
    <w:p w14:paraId="79168531"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Acceso a la información</w:t>
      </w:r>
    </w:p>
    <w:p w14:paraId="7000AFE5" w14:textId="77777777" w:rsidR="009E7A89" w:rsidRDefault="009E7A89" w:rsidP="009E7A89">
      <w:pPr>
        <w:pStyle w:val="Standard"/>
        <w:spacing w:line="276" w:lineRule="auto"/>
        <w:rPr>
          <w:rFonts w:ascii="Noto Sans" w:hAnsi="Noto Sans" w:cs="Noto Sans"/>
          <w:b/>
          <w:sz w:val="22"/>
          <w:szCs w:val="22"/>
          <w:lang w:val="es-ES"/>
        </w:rPr>
      </w:pPr>
    </w:p>
    <w:p w14:paraId="6568D136" w14:textId="77777777" w:rsidR="009E7A89" w:rsidRDefault="009E7A89" w:rsidP="009E7A89">
      <w:pPr>
        <w:pStyle w:val="Prrafodelista"/>
        <w:numPr>
          <w:ilvl w:val="0"/>
          <w:numId w:val="27"/>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Con carácter general, por el carácter público de este Registro, todas las personas interesadas pueden ejercer los derechos de acceso en la información pública, sin perjuicio del cumplimiento de la normativa vigente en materia de protección de datos de carácter personal.</w:t>
      </w:r>
    </w:p>
    <w:p w14:paraId="012EE98D" w14:textId="77777777" w:rsidR="009E7A89" w:rsidRDefault="009E7A89" w:rsidP="009E7A89">
      <w:pPr>
        <w:pStyle w:val="Standard"/>
        <w:spacing w:line="276" w:lineRule="auto"/>
        <w:jc w:val="both"/>
        <w:rPr>
          <w:rFonts w:ascii="Noto Sans" w:hAnsi="Noto Sans" w:cs="Noto Sans"/>
          <w:sz w:val="22"/>
          <w:szCs w:val="22"/>
          <w:lang w:val="es-ES"/>
        </w:rPr>
      </w:pPr>
    </w:p>
    <w:p w14:paraId="7FC26D08" w14:textId="063B11DD" w:rsidR="009E7A89" w:rsidRDefault="009E7A89" w:rsidP="009E7A89">
      <w:pPr>
        <w:pStyle w:val="Prrafodelista"/>
        <w:numPr>
          <w:ilvl w:val="0"/>
          <w:numId w:val="6"/>
        </w:numPr>
        <w:autoSpaceDN w:val="0"/>
        <w:spacing w:line="276" w:lineRule="auto"/>
        <w:contextualSpacing w:val="0"/>
        <w:jc w:val="both"/>
        <w:textAlignment w:val="baseline"/>
      </w:pPr>
      <w:r>
        <w:rPr>
          <w:rFonts w:ascii="Noto Sans" w:hAnsi="Noto Sans" w:cs="Noto Sans"/>
          <w:sz w:val="22"/>
          <w:szCs w:val="22"/>
          <w:lang w:val="es-ES" w:eastAsia="zh-CN"/>
        </w:rPr>
        <w:t>Para acceder a la información del Registro o para ceder esta información, las personas interesadas, en la solicitud correspondiente, se deben comprometer a tratar los datos obtenidos con sumisión a la Ley Orgánica 3/2018, de 5 de diciembre, de protección de datos personales y garantía de los derechos digitales.</w:t>
      </w:r>
    </w:p>
    <w:p w14:paraId="60DDCF8E" w14:textId="77777777" w:rsidR="009E7A89" w:rsidRDefault="009E7A89" w:rsidP="009E7A89">
      <w:pPr>
        <w:pStyle w:val="Standard"/>
        <w:spacing w:line="276" w:lineRule="auto"/>
        <w:jc w:val="both"/>
        <w:rPr>
          <w:rFonts w:ascii="Noto Sans" w:hAnsi="Noto Sans" w:cs="Noto Sans"/>
          <w:sz w:val="22"/>
          <w:szCs w:val="22"/>
          <w:lang w:val="es-ES"/>
        </w:rPr>
      </w:pPr>
    </w:p>
    <w:p w14:paraId="38706582" w14:textId="77777777" w:rsidR="009E7A89" w:rsidRDefault="009E7A89" w:rsidP="009E7A89">
      <w:pPr>
        <w:pStyle w:val="Prrafodelista"/>
        <w:numPr>
          <w:ilvl w:val="0"/>
          <w:numId w:val="6"/>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En cualquier caso, la Dirección General de Políticas para la Soberanía Alimentaria puede denegar de manera motivada el acceso a la información del Registro o la cesión de esta información, cuando pueda causar un perjuicio grave a los intereses propios o al cumplimiento de las funciones propias o cuando afecte la eficacia del funcionamiento del servicio público.</w:t>
      </w:r>
    </w:p>
    <w:p w14:paraId="4AF30DC8" w14:textId="77777777" w:rsidR="009E7A89" w:rsidRDefault="009E7A89" w:rsidP="009E7A89">
      <w:pPr>
        <w:pStyle w:val="Standard"/>
        <w:spacing w:line="276" w:lineRule="auto"/>
        <w:rPr>
          <w:rFonts w:ascii="Noto Sans" w:hAnsi="Noto Sans" w:cs="Noto Sans"/>
          <w:b/>
          <w:sz w:val="22"/>
          <w:szCs w:val="22"/>
          <w:lang w:val="es-ES"/>
        </w:rPr>
      </w:pPr>
    </w:p>
    <w:p w14:paraId="69649E86" w14:textId="77777777" w:rsidR="009E7A89" w:rsidRDefault="009E7A89" w:rsidP="009E7A89">
      <w:pPr>
        <w:pStyle w:val="Standard"/>
        <w:spacing w:line="276" w:lineRule="auto"/>
        <w:rPr>
          <w:rFonts w:ascii="Noto Sans" w:hAnsi="Noto Sans" w:cs="Noto Sans"/>
          <w:b/>
          <w:sz w:val="22"/>
          <w:szCs w:val="22"/>
          <w:lang w:val="es-ES"/>
        </w:rPr>
      </w:pPr>
    </w:p>
    <w:p w14:paraId="542277F5" w14:textId="619CB972" w:rsidR="009E7A89" w:rsidRDefault="009E7A89" w:rsidP="009E7A89">
      <w:pPr>
        <w:pStyle w:val="Standard"/>
        <w:spacing w:line="276" w:lineRule="auto"/>
        <w:rPr>
          <w:rFonts w:ascii="Noto Sans" w:hAnsi="Noto Sans" w:cs="Noto Sans"/>
          <w:b/>
          <w:sz w:val="22"/>
          <w:szCs w:val="22"/>
          <w:lang w:val="es-ES"/>
        </w:rPr>
      </w:pPr>
    </w:p>
    <w:p w14:paraId="54833423" w14:textId="487407DE" w:rsidR="002B129A" w:rsidRDefault="002B129A" w:rsidP="009E7A89">
      <w:pPr>
        <w:pStyle w:val="Standard"/>
        <w:spacing w:line="276" w:lineRule="auto"/>
        <w:rPr>
          <w:rFonts w:ascii="Noto Sans" w:hAnsi="Noto Sans" w:cs="Noto Sans"/>
          <w:b/>
          <w:sz w:val="22"/>
          <w:szCs w:val="22"/>
          <w:lang w:val="es-ES"/>
        </w:rPr>
      </w:pPr>
    </w:p>
    <w:p w14:paraId="265EB1BB" w14:textId="19D523DC" w:rsidR="002B129A" w:rsidRDefault="002B129A" w:rsidP="009E7A89">
      <w:pPr>
        <w:pStyle w:val="Standard"/>
        <w:spacing w:line="276" w:lineRule="auto"/>
        <w:rPr>
          <w:rFonts w:ascii="Noto Sans" w:hAnsi="Noto Sans" w:cs="Noto Sans"/>
          <w:b/>
          <w:sz w:val="22"/>
          <w:szCs w:val="22"/>
          <w:lang w:val="es-ES"/>
        </w:rPr>
      </w:pPr>
    </w:p>
    <w:p w14:paraId="20CD68FE" w14:textId="77777777" w:rsidR="002B129A" w:rsidRDefault="002B129A" w:rsidP="009E7A89">
      <w:pPr>
        <w:pStyle w:val="Standard"/>
        <w:spacing w:line="276" w:lineRule="auto"/>
        <w:rPr>
          <w:rFonts w:ascii="Noto Sans" w:hAnsi="Noto Sans" w:cs="Noto Sans"/>
          <w:b/>
          <w:sz w:val="22"/>
          <w:szCs w:val="22"/>
          <w:lang w:val="es-ES"/>
        </w:rPr>
      </w:pPr>
    </w:p>
    <w:p w14:paraId="4960E6D1" w14:textId="77777777" w:rsidR="009E7A89" w:rsidRDefault="009E7A89" w:rsidP="009E7A89">
      <w:pPr>
        <w:pStyle w:val="Standard"/>
        <w:spacing w:line="276" w:lineRule="auto"/>
        <w:rPr>
          <w:rFonts w:ascii="Noto Sans" w:hAnsi="Noto Sans" w:cs="Noto Sans"/>
          <w:b/>
          <w:sz w:val="22"/>
          <w:szCs w:val="22"/>
          <w:lang w:val="es-ES"/>
        </w:rPr>
      </w:pPr>
    </w:p>
    <w:p w14:paraId="2583C096"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Artículo 9</w:t>
      </w:r>
    </w:p>
    <w:p w14:paraId="4A7FFA1B"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Conservación de la información</w:t>
      </w:r>
    </w:p>
    <w:p w14:paraId="2AAABFD1" w14:textId="77777777" w:rsidR="009E7A89" w:rsidRDefault="009E7A89" w:rsidP="009E7A89">
      <w:pPr>
        <w:pStyle w:val="Standard"/>
        <w:spacing w:line="276" w:lineRule="auto"/>
        <w:rPr>
          <w:rFonts w:ascii="Noto Sans" w:hAnsi="Noto Sans" w:cs="Noto Sans"/>
          <w:b/>
          <w:sz w:val="22"/>
          <w:szCs w:val="22"/>
          <w:lang w:val="es-ES"/>
        </w:rPr>
      </w:pPr>
    </w:p>
    <w:p w14:paraId="738D7EE1" w14:textId="77777777" w:rsidR="009E7A89" w:rsidRDefault="009E7A89" w:rsidP="009E7A89">
      <w:pPr>
        <w:pStyle w:val="Prrafodelista"/>
        <w:numPr>
          <w:ilvl w:val="0"/>
          <w:numId w:val="28"/>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Los datos que figuren en el Registro se tienen que conservar durante el tiempo necesario para el seguimiento y el control de las medidas a las que se refieren.</w:t>
      </w:r>
    </w:p>
    <w:p w14:paraId="1649624C" w14:textId="77777777" w:rsidR="009E7A89" w:rsidRDefault="009E7A89" w:rsidP="009E7A89">
      <w:pPr>
        <w:pStyle w:val="Standard"/>
        <w:spacing w:line="276" w:lineRule="auto"/>
        <w:jc w:val="both"/>
        <w:rPr>
          <w:rFonts w:ascii="Noto Sans" w:hAnsi="Noto Sans" w:cs="Noto Sans"/>
          <w:sz w:val="22"/>
          <w:szCs w:val="22"/>
          <w:lang w:val="es-ES"/>
        </w:rPr>
      </w:pPr>
    </w:p>
    <w:p w14:paraId="184CA819" w14:textId="77777777" w:rsidR="009E7A89" w:rsidRDefault="009E7A89" w:rsidP="009E7A89">
      <w:pPr>
        <w:pStyle w:val="Prrafodelista"/>
        <w:numPr>
          <w:ilvl w:val="0"/>
          <w:numId w:val="7"/>
        </w:numPr>
        <w:autoSpaceDN w:val="0"/>
        <w:spacing w:line="276" w:lineRule="auto"/>
        <w:contextualSpacing w:val="0"/>
        <w:jc w:val="both"/>
        <w:textAlignment w:val="baseline"/>
      </w:pPr>
      <w:r>
        <w:rPr>
          <w:rFonts w:ascii="Noto Sans" w:hAnsi="Noto Sans" w:cs="Noto Sans"/>
          <w:sz w:val="22"/>
          <w:szCs w:val="22"/>
          <w:lang w:val="es-ES" w:eastAsia="zh-CN"/>
        </w:rPr>
        <w:t>En cualquier caso, la Dirección General de Políticas para la Soberanía Alimentaria debe garantizar la conservación y el mantenimiento actualizado de la información que figure en el Registro.</w:t>
      </w:r>
    </w:p>
    <w:p w14:paraId="4FD97A2F" w14:textId="77777777" w:rsidR="009E7A89" w:rsidRDefault="009E7A89" w:rsidP="009E7A89">
      <w:pPr>
        <w:pStyle w:val="Standard"/>
        <w:spacing w:line="276" w:lineRule="auto"/>
        <w:jc w:val="both"/>
        <w:rPr>
          <w:rFonts w:ascii="Noto Sans" w:hAnsi="Noto Sans" w:cs="Noto Sans"/>
          <w:b/>
          <w:sz w:val="22"/>
          <w:szCs w:val="22"/>
          <w:lang w:val="es-ES"/>
        </w:rPr>
      </w:pPr>
    </w:p>
    <w:p w14:paraId="65313244" w14:textId="6F149852" w:rsidR="009E7A89" w:rsidRDefault="009E7A89" w:rsidP="009E7A89">
      <w:pPr>
        <w:pStyle w:val="Prrafodelista"/>
        <w:numPr>
          <w:ilvl w:val="0"/>
          <w:numId w:val="7"/>
        </w:numPr>
        <w:autoSpaceDN w:val="0"/>
        <w:spacing w:line="276" w:lineRule="auto"/>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Con el fin de mantener el Registro actualizado, la Dirección General de Políticas para la Soberanía Alimentaria tiene que garantizar la actualización permanente, incluyendo las modificaciones pertinentes a petición de las personas interesadas y actualizándolas regularmente, de oficio, a medida que disponga de la información recogida, sin perjuicio de comunicarlas a las personas interesadas.</w:t>
      </w:r>
    </w:p>
    <w:p w14:paraId="2B6248B3" w14:textId="77777777" w:rsidR="009E7A89" w:rsidRDefault="009E7A89" w:rsidP="009E7A89">
      <w:pPr>
        <w:pStyle w:val="Prrafodelista"/>
        <w:spacing w:line="276" w:lineRule="auto"/>
        <w:ind w:left="1440"/>
        <w:jc w:val="both"/>
        <w:rPr>
          <w:rFonts w:ascii="Noto Sans" w:hAnsi="Noto Sans" w:cs="Noto Sans"/>
          <w:sz w:val="22"/>
          <w:szCs w:val="22"/>
          <w:lang w:val="es-ES"/>
        </w:rPr>
      </w:pPr>
    </w:p>
    <w:p w14:paraId="748BC760" w14:textId="77777777" w:rsidR="009E7A89" w:rsidRDefault="009E7A89" w:rsidP="009E7A89">
      <w:pPr>
        <w:pStyle w:val="Prrafodelista"/>
        <w:numPr>
          <w:ilvl w:val="0"/>
          <w:numId w:val="7"/>
        </w:numPr>
        <w:autoSpaceDN w:val="0"/>
        <w:spacing w:line="276" w:lineRule="auto"/>
        <w:contextualSpacing w:val="0"/>
        <w:jc w:val="both"/>
        <w:textAlignment w:val="baseline"/>
      </w:pPr>
      <w:r>
        <w:rPr>
          <w:rFonts w:ascii="Noto Sans" w:hAnsi="Noto Sans" w:cs="Noto Sans"/>
          <w:sz w:val="22"/>
          <w:szCs w:val="22"/>
          <w:lang w:val="es-ES" w:eastAsia="zh-CN"/>
        </w:rPr>
        <w:t>A este efecto, la Dirección General de Políticas para la Soberanía Alimentaria debe establecer las medidas adecuadas para desarrollar las funciones siguientes:</w:t>
      </w:r>
    </w:p>
    <w:p w14:paraId="316CB19A" w14:textId="77777777" w:rsidR="009E7A89" w:rsidRDefault="009E7A89" w:rsidP="009E7A89">
      <w:pPr>
        <w:pStyle w:val="Standard"/>
        <w:spacing w:line="276" w:lineRule="auto"/>
        <w:jc w:val="both"/>
        <w:rPr>
          <w:rFonts w:ascii="Noto Sans" w:hAnsi="Noto Sans" w:cs="Noto Sans"/>
          <w:sz w:val="22"/>
          <w:szCs w:val="22"/>
          <w:lang w:val="es-ES"/>
        </w:rPr>
      </w:pPr>
    </w:p>
    <w:p w14:paraId="31E62103" w14:textId="77777777" w:rsidR="009E7A89" w:rsidRDefault="009E7A89" w:rsidP="009E7A89">
      <w:pPr>
        <w:pStyle w:val="Prrafodelista"/>
        <w:numPr>
          <w:ilvl w:val="0"/>
          <w:numId w:val="29"/>
        </w:numPr>
        <w:tabs>
          <w:tab w:val="left" w:pos="1471"/>
          <w:tab w:val="left" w:pos="1929"/>
        </w:tabs>
        <w:autoSpaceDN w:val="0"/>
        <w:spacing w:line="276" w:lineRule="auto"/>
        <w:ind w:left="737" w:firstLine="0"/>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 xml:space="preserve">Asesorar a los operadores y facilitar la información necesaria de las </w:t>
      </w:r>
      <w:r>
        <w:rPr>
          <w:rFonts w:ascii="Noto Sans" w:hAnsi="Noto Sans" w:cs="Noto Sans"/>
          <w:sz w:val="22"/>
          <w:szCs w:val="22"/>
          <w:lang w:val="es-ES" w:eastAsia="zh-CN"/>
        </w:rPr>
        <w:tab/>
        <w:t xml:space="preserve">obligaciones y documentación necesaria para poder tramitar las </w:t>
      </w:r>
      <w:r>
        <w:rPr>
          <w:rFonts w:ascii="Noto Sans" w:hAnsi="Noto Sans" w:cs="Noto Sans"/>
          <w:sz w:val="22"/>
          <w:szCs w:val="22"/>
          <w:lang w:val="es-ES" w:eastAsia="zh-CN"/>
        </w:rPr>
        <w:tab/>
        <w:t>inscripciones y las posibles modificaciones.</w:t>
      </w:r>
    </w:p>
    <w:p w14:paraId="648D2F2D" w14:textId="77777777" w:rsidR="009E7A89" w:rsidRDefault="009E7A89" w:rsidP="009E7A89">
      <w:pPr>
        <w:pStyle w:val="Prrafodelista"/>
        <w:numPr>
          <w:ilvl w:val="0"/>
          <w:numId w:val="2"/>
        </w:numPr>
        <w:tabs>
          <w:tab w:val="left" w:pos="1471"/>
          <w:tab w:val="left" w:pos="1929"/>
        </w:tabs>
        <w:autoSpaceDN w:val="0"/>
        <w:spacing w:line="276" w:lineRule="auto"/>
        <w:ind w:left="737" w:firstLine="0"/>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Atender y resolver las alegaciones que se planteen.</w:t>
      </w:r>
    </w:p>
    <w:p w14:paraId="1757CF4E" w14:textId="77777777" w:rsidR="009E7A89" w:rsidRDefault="009E7A89" w:rsidP="009E7A89">
      <w:pPr>
        <w:pStyle w:val="Prrafodelista"/>
        <w:numPr>
          <w:ilvl w:val="0"/>
          <w:numId w:val="2"/>
        </w:numPr>
        <w:tabs>
          <w:tab w:val="left" w:pos="1471"/>
          <w:tab w:val="left" w:pos="1929"/>
        </w:tabs>
        <w:autoSpaceDN w:val="0"/>
        <w:spacing w:line="276" w:lineRule="auto"/>
        <w:ind w:left="737" w:firstLine="0"/>
        <w:contextualSpacing w:val="0"/>
        <w:jc w:val="both"/>
        <w:textAlignment w:val="baseline"/>
        <w:rPr>
          <w:rFonts w:ascii="Noto Sans" w:hAnsi="Noto Sans" w:cs="Noto Sans"/>
          <w:sz w:val="22"/>
          <w:szCs w:val="22"/>
          <w:lang w:val="es-ES"/>
        </w:rPr>
      </w:pPr>
      <w:r>
        <w:rPr>
          <w:rFonts w:ascii="Noto Sans" w:hAnsi="Noto Sans" w:cs="Noto Sans"/>
          <w:sz w:val="22"/>
          <w:szCs w:val="22"/>
          <w:lang w:val="es-ES" w:eastAsia="zh-CN"/>
        </w:rPr>
        <w:t>Incorporar en la base de datos las actualizaciones aceptadas.</w:t>
      </w:r>
    </w:p>
    <w:p w14:paraId="1EB8A3C7" w14:textId="77777777" w:rsidR="009E7A89" w:rsidRDefault="009E7A89" w:rsidP="009E7A89">
      <w:pPr>
        <w:pStyle w:val="Standard"/>
        <w:spacing w:line="276" w:lineRule="auto"/>
        <w:jc w:val="both"/>
        <w:rPr>
          <w:rFonts w:ascii="Noto Sans" w:hAnsi="Noto Sans" w:cs="Noto Sans"/>
          <w:color w:val="00B050"/>
          <w:sz w:val="22"/>
          <w:szCs w:val="22"/>
          <w:lang w:val="es-ES"/>
        </w:rPr>
      </w:pPr>
    </w:p>
    <w:p w14:paraId="2C6FC4DD" w14:textId="77777777" w:rsidR="009E7A89" w:rsidRDefault="009E7A89"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Artículo 10</w:t>
      </w:r>
    </w:p>
    <w:p w14:paraId="56E01545" w14:textId="77777777" w:rsidR="009E7A89" w:rsidRDefault="009E7A89" w:rsidP="009E7A89">
      <w:pPr>
        <w:pStyle w:val="Standard"/>
        <w:spacing w:line="276" w:lineRule="auto"/>
        <w:jc w:val="both"/>
        <w:rPr>
          <w:rFonts w:ascii="Noto Sans" w:hAnsi="Noto Sans" w:cs="Noto Sans"/>
          <w:b/>
          <w:sz w:val="22"/>
          <w:szCs w:val="22"/>
          <w:lang w:val="es-ES"/>
        </w:rPr>
      </w:pPr>
      <w:r>
        <w:rPr>
          <w:rFonts w:ascii="Noto Sans" w:hAnsi="Noto Sans" w:cs="Noto Sans"/>
          <w:b/>
          <w:sz w:val="22"/>
          <w:szCs w:val="22"/>
          <w:lang w:val="es-ES"/>
        </w:rPr>
        <w:t>Modificación y actualización de datos de baja en el Registro de Envasadores de Vinos y Bebidas Alcohólicas de las Illes Balears (REDIB).</w:t>
      </w:r>
    </w:p>
    <w:p w14:paraId="6D9CE0BD" w14:textId="77777777" w:rsidR="009E7A89" w:rsidRDefault="009E7A89" w:rsidP="009E7A89">
      <w:pPr>
        <w:pStyle w:val="Standard"/>
        <w:spacing w:line="276" w:lineRule="auto"/>
        <w:jc w:val="both"/>
        <w:rPr>
          <w:rFonts w:ascii="Noto Sans" w:hAnsi="Noto Sans" w:cs="Noto Sans"/>
          <w:b/>
          <w:sz w:val="22"/>
          <w:szCs w:val="22"/>
          <w:lang w:val="es-ES"/>
        </w:rPr>
      </w:pPr>
    </w:p>
    <w:p w14:paraId="3666A959" w14:textId="042472EF" w:rsidR="009E7A89" w:rsidRDefault="009E7A89" w:rsidP="009E7A89">
      <w:pPr>
        <w:pStyle w:val="Standard"/>
        <w:numPr>
          <w:ilvl w:val="0"/>
          <w:numId w:val="30"/>
        </w:numPr>
        <w:spacing w:line="276" w:lineRule="auto"/>
        <w:rPr>
          <w:rFonts w:ascii="Noto Sans" w:hAnsi="Noto Sans" w:cs="Noto Sans"/>
          <w:sz w:val="22"/>
          <w:szCs w:val="22"/>
          <w:lang w:val="es-ES"/>
        </w:rPr>
      </w:pPr>
      <w:r>
        <w:rPr>
          <w:rFonts w:ascii="Noto Sans" w:hAnsi="Noto Sans" w:cs="Noto Sans"/>
          <w:sz w:val="22"/>
          <w:szCs w:val="22"/>
          <w:lang w:val="es-ES"/>
        </w:rPr>
        <w:t>Para garantizar que la información contenida en el Registro de Envasadores de Vinos y Bebidas Alcohólicas de las Illes Balears (REDIB) refleje en todo momento la situación real de los operadores que envasan vinos y bebidas alcohólicas en las Illes Balears, estos tendrán que comunicar cualquier cambio o modificación de la actividad.</w:t>
      </w:r>
    </w:p>
    <w:p w14:paraId="0559F918" w14:textId="77777777" w:rsidR="009D16C3" w:rsidRDefault="009D16C3" w:rsidP="009D16C3">
      <w:pPr>
        <w:pStyle w:val="Standard"/>
        <w:spacing w:line="276" w:lineRule="auto"/>
        <w:ind w:left="720"/>
        <w:rPr>
          <w:rFonts w:ascii="Noto Sans" w:hAnsi="Noto Sans" w:cs="Noto Sans"/>
          <w:sz w:val="22"/>
          <w:szCs w:val="22"/>
          <w:lang w:val="es-ES"/>
        </w:rPr>
      </w:pPr>
    </w:p>
    <w:p w14:paraId="1B7B8A62" w14:textId="77777777" w:rsidR="009E7A89" w:rsidRDefault="009E7A89" w:rsidP="009E7A89">
      <w:pPr>
        <w:pStyle w:val="Standard"/>
        <w:numPr>
          <w:ilvl w:val="0"/>
          <w:numId w:val="15"/>
        </w:numPr>
        <w:spacing w:line="276" w:lineRule="auto"/>
        <w:rPr>
          <w:rFonts w:ascii="Noto Sans" w:hAnsi="Noto Sans" w:cs="Noto Sans"/>
          <w:sz w:val="22"/>
          <w:szCs w:val="22"/>
          <w:lang w:val="es-ES"/>
        </w:rPr>
      </w:pPr>
      <w:r>
        <w:rPr>
          <w:rFonts w:ascii="Noto Sans" w:hAnsi="Noto Sans" w:cs="Noto Sans"/>
          <w:sz w:val="22"/>
          <w:szCs w:val="22"/>
          <w:lang w:val="es-ES"/>
        </w:rPr>
        <w:t>En cualquier caso, los operadores inscritos tienen que solicitar la modificación y la actualización de los datos del Registro de Envasadores de Vinos y Bebidas Alcohólicas de las Illes Balears (REDIB) y, específicamente, cualquier cambio de titularidad o de ubicación, la modificación del contrato de prestación de servicios (envasadoras móviles o de operadores que ordenan envasar vino o bebidas alcohólicas) y el cese en la actividad.</w:t>
      </w:r>
    </w:p>
    <w:p w14:paraId="6D789D47" w14:textId="77777777" w:rsidR="009E7A89" w:rsidRDefault="009E7A89" w:rsidP="009E7A89">
      <w:pPr>
        <w:pStyle w:val="Standard"/>
        <w:spacing w:line="276" w:lineRule="auto"/>
        <w:ind w:left="720"/>
      </w:pPr>
    </w:p>
    <w:p w14:paraId="4736982A" w14:textId="77777777" w:rsidR="009E7A89" w:rsidRDefault="009E7A89" w:rsidP="009E7A89">
      <w:pPr>
        <w:pStyle w:val="Standard"/>
        <w:numPr>
          <w:ilvl w:val="0"/>
          <w:numId w:val="15"/>
        </w:numPr>
        <w:spacing w:line="276" w:lineRule="auto"/>
        <w:rPr>
          <w:rFonts w:ascii="Noto Sans" w:hAnsi="Noto Sans" w:cs="Noto Sans"/>
          <w:sz w:val="22"/>
          <w:szCs w:val="22"/>
          <w:lang w:val="es-ES"/>
        </w:rPr>
      </w:pPr>
      <w:r>
        <w:rPr>
          <w:rFonts w:ascii="Noto Sans" w:hAnsi="Noto Sans" w:cs="Noto Sans"/>
          <w:sz w:val="22"/>
          <w:szCs w:val="22"/>
          <w:lang w:val="es-ES"/>
        </w:rPr>
        <w:lastRenderedPageBreak/>
        <w:t>La Dirección General de Políticas para la Soberanía Alimentaria y los consejos insulares de Menorca, Ibiza y Formentera son los responsables de actualizar los registros que figuren en el REDIB correspondientes a los operadores cuyas instalaciones estén ubicadas en los ámbitos territoriales insulares respectivos.</w:t>
      </w:r>
    </w:p>
    <w:p w14:paraId="14786857" w14:textId="77777777" w:rsidR="009E7A89" w:rsidRDefault="009E7A89" w:rsidP="009E7A89">
      <w:pPr>
        <w:pStyle w:val="Standard"/>
        <w:spacing w:line="276" w:lineRule="auto"/>
        <w:ind w:left="720"/>
      </w:pPr>
    </w:p>
    <w:p w14:paraId="6A47865A" w14:textId="77777777" w:rsidR="009E7A89" w:rsidRDefault="009E7A89" w:rsidP="009E7A89">
      <w:pPr>
        <w:pStyle w:val="Standard"/>
        <w:numPr>
          <w:ilvl w:val="0"/>
          <w:numId w:val="15"/>
        </w:numPr>
        <w:spacing w:line="276" w:lineRule="auto"/>
        <w:rPr>
          <w:rFonts w:ascii="Noto Sans" w:hAnsi="Noto Sans" w:cs="Noto Sans"/>
          <w:sz w:val="22"/>
          <w:szCs w:val="22"/>
          <w:lang w:val="es-ES"/>
        </w:rPr>
      </w:pPr>
      <w:r>
        <w:rPr>
          <w:rFonts w:ascii="Noto Sans" w:hAnsi="Noto Sans" w:cs="Noto Sans"/>
          <w:sz w:val="22"/>
          <w:szCs w:val="22"/>
          <w:lang w:val="es-ES"/>
        </w:rPr>
        <w:t>Los operadores inscritos en el REDIB, en caso de que sean requeridos para el control, tienen que facilitar la tarea de control a los técnicos de la Dirección General de Políticas para la Soberanía Alimentaria o a los responsables del registro de los consejos insulares de Menorca, Ibiza o Formentera, aportando la información y la documentación necesaria para comprobar la fiabilidad de los datos registrados.</w:t>
      </w:r>
    </w:p>
    <w:p w14:paraId="54FA261A" w14:textId="77777777" w:rsidR="009E7A89" w:rsidRDefault="009E7A89" w:rsidP="009E7A89">
      <w:pPr>
        <w:pStyle w:val="Standard"/>
        <w:spacing w:line="276" w:lineRule="auto"/>
        <w:ind w:left="720"/>
      </w:pPr>
    </w:p>
    <w:p w14:paraId="1B949382" w14:textId="77777777" w:rsidR="009E7A89" w:rsidRDefault="009E7A89" w:rsidP="009E7A89">
      <w:pPr>
        <w:pStyle w:val="Standard"/>
        <w:numPr>
          <w:ilvl w:val="0"/>
          <w:numId w:val="15"/>
        </w:numPr>
        <w:spacing w:line="276" w:lineRule="auto"/>
        <w:rPr>
          <w:rFonts w:ascii="Noto Sans" w:hAnsi="Noto Sans" w:cs="Noto Sans"/>
          <w:sz w:val="22"/>
          <w:szCs w:val="22"/>
          <w:lang w:val="es-ES"/>
        </w:rPr>
      </w:pPr>
      <w:r>
        <w:rPr>
          <w:rFonts w:ascii="Noto Sans" w:hAnsi="Noto Sans" w:cs="Noto Sans"/>
          <w:sz w:val="22"/>
          <w:szCs w:val="22"/>
          <w:lang w:val="es-ES"/>
        </w:rPr>
        <w:t>El resultado del control podrá dar lugar, si procede, a la rectificación registral pertinente, sin perjuicio de las sanciones aplicables a las irregularidades que se detecten.</w:t>
      </w:r>
    </w:p>
    <w:p w14:paraId="2DEB9075" w14:textId="77777777" w:rsidR="009E7A89" w:rsidRDefault="009E7A89" w:rsidP="009E7A89">
      <w:pPr>
        <w:pStyle w:val="Standard"/>
        <w:spacing w:line="276" w:lineRule="auto"/>
        <w:rPr>
          <w:rFonts w:ascii="Noto Sans" w:hAnsi="Noto Sans" w:cs="Noto Sans"/>
          <w:b/>
          <w:sz w:val="22"/>
          <w:szCs w:val="22"/>
          <w:lang w:val="es-ES"/>
        </w:rPr>
      </w:pPr>
    </w:p>
    <w:p w14:paraId="4111B51E"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Artículo 11</w:t>
      </w:r>
    </w:p>
    <w:p w14:paraId="5F5E06DB"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Incumplimiento de la obligación de declarar y régimen sancionador</w:t>
      </w:r>
    </w:p>
    <w:p w14:paraId="3539D9EC" w14:textId="77777777" w:rsidR="009E7A89" w:rsidRDefault="009E7A89" w:rsidP="009E7A89">
      <w:pPr>
        <w:pStyle w:val="Standard"/>
        <w:spacing w:line="276" w:lineRule="auto"/>
        <w:rPr>
          <w:rFonts w:ascii="Noto Sans" w:hAnsi="Noto Sans" w:cs="Noto Sans"/>
          <w:b/>
          <w:sz w:val="22"/>
          <w:szCs w:val="22"/>
          <w:lang w:val="es-ES"/>
        </w:rPr>
      </w:pPr>
    </w:p>
    <w:p w14:paraId="076A0ED3" w14:textId="77777777" w:rsidR="009E7A89" w:rsidRPr="009E7A89" w:rsidRDefault="009E7A89" w:rsidP="009E7A89">
      <w:pPr>
        <w:pStyle w:val="Standard"/>
        <w:spacing w:line="276" w:lineRule="auto"/>
        <w:jc w:val="both"/>
      </w:pPr>
      <w:r w:rsidRPr="009E7A89">
        <w:rPr>
          <w:rStyle w:val="Internetlink"/>
          <w:rFonts w:ascii="Noto Sans" w:hAnsi="Noto Sans" w:cs="Noto Sans"/>
          <w:color w:val="000000"/>
          <w:sz w:val="22"/>
          <w:szCs w:val="22"/>
          <w:u w:val="none"/>
          <w:shd w:val="clear" w:color="auto" w:fill="FFFFFF"/>
          <w:lang w:val="es-ES"/>
        </w:rPr>
        <w:t>Quienes estén obligados a presentar las declaraciones que recoge este Decreto y no lo hagan en los plazos establecidos o no incluyan alguna de las declaraciones obligatorias, así como si hay errores, inexactitudes u omisiones que afecten las características de las actividades, instalaciones y la calidad y trazabilidad de los productos consignados, serán sancionados según la Ley 24/2003, de 10 de julio, de la viña y del vino, la Ley 1/1999 de 17 de marzo del Estatuto de los productores e industriales agroalimentarios de las Illes Balears y la Ley 3/2019, de 31 de enero, Agraria de las Illes Balears.</w:t>
      </w:r>
    </w:p>
    <w:p w14:paraId="0AC77133" w14:textId="77777777" w:rsidR="009E7A89" w:rsidRDefault="009E7A89" w:rsidP="009E7A89">
      <w:pPr>
        <w:pStyle w:val="Standard"/>
        <w:spacing w:line="276" w:lineRule="auto"/>
        <w:jc w:val="both"/>
        <w:rPr>
          <w:rFonts w:ascii="Noto Sans" w:hAnsi="Noto Sans" w:cs="Noto Sans"/>
          <w:sz w:val="22"/>
          <w:szCs w:val="22"/>
          <w:lang w:val="es-ES"/>
        </w:rPr>
      </w:pPr>
    </w:p>
    <w:p w14:paraId="204E5C04"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Disposición transitoria única</w:t>
      </w:r>
    </w:p>
    <w:p w14:paraId="792CB88D"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Vigencia de las inscripciones existentes</w:t>
      </w:r>
    </w:p>
    <w:p w14:paraId="43B0F4C8" w14:textId="77777777" w:rsidR="009E7A89" w:rsidRDefault="009E7A89" w:rsidP="009E7A89">
      <w:pPr>
        <w:pStyle w:val="Standard"/>
        <w:spacing w:line="276" w:lineRule="auto"/>
        <w:rPr>
          <w:rFonts w:ascii="Noto Sans" w:hAnsi="Noto Sans" w:cs="Noto Sans"/>
          <w:sz w:val="22"/>
          <w:szCs w:val="22"/>
          <w:lang w:val="es-ES"/>
        </w:rPr>
      </w:pPr>
    </w:p>
    <w:p w14:paraId="76AB645C" w14:textId="426E1096" w:rsidR="009E7A89" w:rsidRDefault="009E7A89" w:rsidP="009E7A89">
      <w:pPr>
        <w:pStyle w:val="Standard"/>
        <w:spacing w:line="276" w:lineRule="auto"/>
      </w:pPr>
      <w:r>
        <w:rPr>
          <w:rFonts w:ascii="Noto Sans" w:hAnsi="Noto Sans" w:cs="Noto Sans"/>
          <w:sz w:val="22"/>
          <w:szCs w:val="22"/>
          <w:lang w:val="es-ES"/>
        </w:rPr>
        <w:t>Todos aquellos operadores que figuren inscritos, en la fecha de aprobación de este Decreto, en el Registro de Embotelladores de Vinos y Bebidas Alcohólicas que dispone actualmente la Dirección General de Políticas para la Soberanía Alimentaria quedan automáticamente incorporados en el nuevo Registro de Envasadores de Vinos y Bebidas Alcohólicas de las Illes Balears.</w:t>
      </w:r>
    </w:p>
    <w:p w14:paraId="2836171B" w14:textId="77777777" w:rsidR="009E7A89" w:rsidRDefault="009E7A89" w:rsidP="009E7A89">
      <w:pPr>
        <w:pStyle w:val="Standard"/>
        <w:spacing w:line="276" w:lineRule="auto"/>
        <w:jc w:val="both"/>
        <w:rPr>
          <w:rFonts w:ascii="Noto Sans" w:hAnsi="Noto Sans" w:cs="Noto Sans"/>
          <w:sz w:val="22"/>
          <w:szCs w:val="22"/>
          <w:lang w:val="es-ES"/>
        </w:rPr>
      </w:pPr>
    </w:p>
    <w:p w14:paraId="3E21400C"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Disposición derogatoria única</w:t>
      </w:r>
    </w:p>
    <w:p w14:paraId="1CA2F303"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Normas derogadas</w:t>
      </w:r>
    </w:p>
    <w:p w14:paraId="32518E16" w14:textId="77777777" w:rsidR="009E7A89" w:rsidRDefault="009E7A89" w:rsidP="009E7A89">
      <w:pPr>
        <w:pStyle w:val="Standard"/>
        <w:spacing w:line="276" w:lineRule="auto"/>
        <w:rPr>
          <w:rFonts w:ascii="Noto Sans" w:hAnsi="Noto Sans" w:cs="Noto Sans"/>
          <w:sz w:val="22"/>
          <w:szCs w:val="22"/>
          <w:lang w:val="es-ES"/>
        </w:rPr>
      </w:pPr>
    </w:p>
    <w:p w14:paraId="7DC4AD37" w14:textId="1039FBB3" w:rsidR="009E7A89" w:rsidRDefault="009E7A89" w:rsidP="009E7A89">
      <w:pPr>
        <w:pStyle w:val="Standard"/>
        <w:spacing w:line="276" w:lineRule="auto"/>
        <w:rPr>
          <w:rFonts w:ascii="Noto Sans" w:hAnsi="Noto Sans" w:cs="Noto Sans"/>
          <w:sz w:val="22"/>
          <w:szCs w:val="22"/>
          <w:lang w:val="es-ES"/>
        </w:rPr>
      </w:pPr>
      <w:r>
        <w:rPr>
          <w:rFonts w:ascii="Noto Sans" w:hAnsi="Noto Sans" w:cs="Noto Sans"/>
          <w:sz w:val="22"/>
          <w:szCs w:val="22"/>
          <w:lang w:val="es-ES"/>
        </w:rPr>
        <w:t>Se deroga el Decreto 17/2011, de once de marzo, por el que se regula la Comisión de la Vitivinicultura de las Illes Balears, así como todas las normas del mismo rango de este Decreto o de un rango inferior que se opongan a</w:t>
      </w:r>
      <w:r w:rsidR="009D16C3">
        <w:rPr>
          <w:rFonts w:ascii="Noto Sans" w:hAnsi="Noto Sans" w:cs="Noto Sans"/>
          <w:sz w:val="22"/>
          <w:szCs w:val="22"/>
          <w:lang w:val="es-ES"/>
        </w:rPr>
        <w:t xml:space="preserve"> </w:t>
      </w:r>
      <w:r>
        <w:rPr>
          <w:rFonts w:ascii="Noto Sans" w:hAnsi="Noto Sans" w:cs="Noto Sans"/>
          <w:sz w:val="22"/>
          <w:szCs w:val="22"/>
          <w:lang w:val="es-ES"/>
        </w:rPr>
        <w:t>l</w:t>
      </w:r>
      <w:r w:rsidR="009D16C3">
        <w:rPr>
          <w:rFonts w:ascii="Noto Sans" w:hAnsi="Noto Sans" w:cs="Noto Sans"/>
          <w:sz w:val="22"/>
          <w:szCs w:val="22"/>
          <w:lang w:val="es-ES"/>
        </w:rPr>
        <w:t>o</w:t>
      </w:r>
      <w:r>
        <w:rPr>
          <w:rFonts w:ascii="Noto Sans" w:hAnsi="Noto Sans" w:cs="Noto Sans"/>
          <w:sz w:val="22"/>
          <w:szCs w:val="22"/>
          <w:lang w:val="es-ES"/>
        </w:rPr>
        <w:t xml:space="preserve"> que se establece en este Decreto.</w:t>
      </w:r>
    </w:p>
    <w:p w14:paraId="7D362544" w14:textId="77777777" w:rsidR="009E7A89" w:rsidRDefault="009E7A89" w:rsidP="009E7A89">
      <w:pPr>
        <w:pStyle w:val="Standard"/>
        <w:spacing w:line="276" w:lineRule="auto"/>
        <w:rPr>
          <w:rFonts w:ascii="Noto Sans" w:hAnsi="Noto Sans" w:cs="Noto Sans"/>
          <w:b/>
          <w:sz w:val="22"/>
          <w:szCs w:val="22"/>
          <w:lang w:val="es-ES"/>
        </w:rPr>
      </w:pPr>
    </w:p>
    <w:p w14:paraId="090A8358" w14:textId="77777777" w:rsidR="002B129A" w:rsidRDefault="002B129A" w:rsidP="009E7A89">
      <w:pPr>
        <w:pStyle w:val="Standard"/>
        <w:spacing w:line="276" w:lineRule="auto"/>
        <w:rPr>
          <w:rFonts w:ascii="Noto Sans" w:hAnsi="Noto Sans" w:cs="Noto Sans"/>
          <w:b/>
          <w:sz w:val="22"/>
          <w:szCs w:val="22"/>
          <w:lang w:val="es-ES"/>
        </w:rPr>
      </w:pPr>
    </w:p>
    <w:p w14:paraId="61A2CD6F" w14:textId="77777777" w:rsidR="002B129A" w:rsidRDefault="002B129A" w:rsidP="009E7A89">
      <w:pPr>
        <w:pStyle w:val="Standard"/>
        <w:spacing w:line="276" w:lineRule="auto"/>
        <w:rPr>
          <w:rFonts w:ascii="Noto Sans" w:hAnsi="Noto Sans" w:cs="Noto Sans"/>
          <w:b/>
          <w:sz w:val="22"/>
          <w:szCs w:val="22"/>
          <w:lang w:val="es-ES"/>
        </w:rPr>
      </w:pPr>
    </w:p>
    <w:p w14:paraId="26A16CCA" w14:textId="77777777" w:rsidR="002B129A" w:rsidRDefault="002B129A" w:rsidP="009E7A89">
      <w:pPr>
        <w:pStyle w:val="Standard"/>
        <w:spacing w:line="276" w:lineRule="auto"/>
        <w:rPr>
          <w:rFonts w:ascii="Noto Sans" w:hAnsi="Noto Sans" w:cs="Noto Sans"/>
          <w:b/>
          <w:sz w:val="22"/>
          <w:szCs w:val="22"/>
          <w:lang w:val="es-ES"/>
        </w:rPr>
      </w:pPr>
    </w:p>
    <w:p w14:paraId="21409F83" w14:textId="3DB011A3"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Disposición final segunda</w:t>
      </w:r>
    </w:p>
    <w:p w14:paraId="4734172B" w14:textId="77777777" w:rsidR="009E7A89" w:rsidRDefault="009E7A89" w:rsidP="009E7A89">
      <w:pPr>
        <w:pStyle w:val="Standard"/>
        <w:spacing w:line="276" w:lineRule="auto"/>
        <w:rPr>
          <w:rFonts w:ascii="Noto Sans" w:hAnsi="Noto Sans" w:cs="Noto Sans"/>
          <w:b/>
          <w:sz w:val="22"/>
          <w:szCs w:val="22"/>
          <w:lang w:val="es-ES"/>
        </w:rPr>
      </w:pPr>
      <w:r>
        <w:rPr>
          <w:rFonts w:ascii="Noto Sans" w:hAnsi="Noto Sans" w:cs="Noto Sans"/>
          <w:b/>
          <w:sz w:val="22"/>
          <w:szCs w:val="22"/>
          <w:lang w:val="es-ES"/>
        </w:rPr>
        <w:t>Entrada en vigor</w:t>
      </w:r>
    </w:p>
    <w:p w14:paraId="34699767" w14:textId="77777777" w:rsidR="009E7A89" w:rsidRDefault="009E7A89" w:rsidP="009E7A89">
      <w:pPr>
        <w:pStyle w:val="Standard"/>
        <w:spacing w:line="276" w:lineRule="auto"/>
        <w:rPr>
          <w:rFonts w:ascii="Noto Sans" w:hAnsi="Noto Sans" w:cs="Noto Sans"/>
          <w:b/>
          <w:sz w:val="22"/>
          <w:szCs w:val="22"/>
          <w:lang w:val="es-ES"/>
        </w:rPr>
      </w:pPr>
    </w:p>
    <w:p w14:paraId="51E20888" w14:textId="77777777" w:rsidR="009E7A89" w:rsidRDefault="009E7A89" w:rsidP="009E7A89">
      <w:pPr>
        <w:pStyle w:val="Standard"/>
        <w:spacing w:line="276" w:lineRule="auto"/>
      </w:pPr>
      <w:r>
        <w:rPr>
          <w:rFonts w:ascii="Noto Sans" w:hAnsi="Noto Sans" w:cs="Noto Sans"/>
          <w:sz w:val="22"/>
          <w:szCs w:val="22"/>
          <w:lang w:val="es-ES"/>
        </w:rPr>
        <w:t xml:space="preserve">Este Decreto entra en vigor el día siguiente de la publicación en el </w:t>
      </w:r>
      <w:proofErr w:type="spellStart"/>
      <w:r>
        <w:rPr>
          <w:rFonts w:ascii="Noto Sans" w:hAnsi="Noto Sans" w:cs="Noto Sans"/>
          <w:i/>
          <w:sz w:val="22"/>
          <w:szCs w:val="22"/>
          <w:lang w:val="es-ES"/>
        </w:rPr>
        <w:t>Butlletí</w:t>
      </w:r>
      <w:proofErr w:type="spellEnd"/>
      <w:r>
        <w:rPr>
          <w:rFonts w:ascii="Noto Sans" w:hAnsi="Noto Sans" w:cs="Noto Sans"/>
          <w:i/>
          <w:sz w:val="22"/>
          <w:szCs w:val="22"/>
          <w:lang w:val="es-ES"/>
        </w:rPr>
        <w:t xml:space="preserve"> Oficial de les Illes Balears.</w:t>
      </w:r>
    </w:p>
    <w:p w14:paraId="676E397F" w14:textId="77777777" w:rsidR="009E7A89" w:rsidRDefault="009E7A89" w:rsidP="009E7A89">
      <w:pPr>
        <w:pStyle w:val="Standard"/>
        <w:spacing w:line="276" w:lineRule="auto"/>
        <w:rPr>
          <w:rFonts w:ascii="Noto Sans" w:hAnsi="Noto Sans" w:cs="Noto Sans"/>
          <w:sz w:val="22"/>
          <w:szCs w:val="22"/>
          <w:lang w:val="es-ES"/>
        </w:rPr>
      </w:pPr>
    </w:p>
    <w:p w14:paraId="0AA0B327" w14:textId="77777777" w:rsidR="009E7A89" w:rsidRDefault="009E7A89" w:rsidP="009E7A89">
      <w:pPr>
        <w:pStyle w:val="Standard"/>
        <w:spacing w:line="276" w:lineRule="auto"/>
        <w:rPr>
          <w:rFonts w:ascii="Noto Sans" w:hAnsi="Noto Sans" w:cs="Noto Sans"/>
          <w:sz w:val="22"/>
          <w:szCs w:val="22"/>
          <w:lang w:val="es-ES"/>
        </w:rPr>
      </w:pPr>
    </w:p>
    <w:p w14:paraId="520595DD" w14:textId="6892D01F" w:rsidR="009E7A89" w:rsidRDefault="009E7A89" w:rsidP="009E7A89">
      <w:pPr>
        <w:pStyle w:val="Standard"/>
        <w:spacing w:line="276" w:lineRule="auto"/>
        <w:rPr>
          <w:rFonts w:ascii="Noto Sans" w:hAnsi="Noto Sans" w:cs="Noto Sans"/>
          <w:sz w:val="22"/>
          <w:szCs w:val="22"/>
          <w:lang w:val="es-ES"/>
        </w:rPr>
      </w:pPr>
      <w:r>
        <w:rPr>
          <w:rFonts w:ascii="Noto Sans" w:hAnsi="Noto Sans" w:cs="Noto Sans"/>
          <w:sz w:val="22"/>
          <w:szCs w:val="22"/>
          <w:lang w:val="es-ES"/>
        </w:rPr>
        <w:t xml:space="preserve">Palma, </w:t>
      </w:r>
    </w:p>
    <w:p w14:paraId="3B53300E" w14:textId="77777777" w:rsidR="009E7A89" w:rsidRDefault="009E7A89" w:rsidP="009E7A89">
      <w:pPr>
        <w:pStyle w:val="Standard"/>
        <w:spacing w:line="276" w:lineRule="auto"/>
        <w:rPr>
          <w:rFonts w:ascii="Noto Sans" w:hAnsi="Noto Sans" w:cs="Noto Sans"/>
          <w:sz w:val="22"/>
          <w:szCs w:val="22"/>
        </w:rPr>
      </w:pPr>
    </w:p>
    <w:p w14:paraId="01674ABA" w14:textId="3934DD72" w:rsidR="009E7A89" w:rsidRDefault="009E7A89" w:rsidP="009E7A89">
      <w:pPr>
        <w:pStyle w:val="Standard"/>
        <w:spacing w:line="276" w:lineRule="auto"/>
        <w:rPr>
          <w:rFonts w:ascii="Noto Sans" w:hAnsi="Noto Sans" w:cs="Noto Sans"/>
          <w:sz w:val="22"/>
          <w:szCs w:val="22"/>
        </w:rPr>
      </w:pPr>
      <w:r>
        <w:rPr>
          <w:rFonts w:ascii="Noto Sans" w:hAnsi="Noto Sans" w:cs="Noto Sans"/>
          <w:sz w:val="22"/>
          <w:szCs w:val="22"/>
        </w:rPr>
        <w:t xml:space="preserve">La </w:t>
      </w:r>
      <w:r w:rsidR="00B41302">
        <w:rPr>
          <w:rFonts w:ascii="Noto Sans" w:hAnsi="Noto Sans" w:cs="Noto Sans"/>
          <w:sz w:val="22"/>
          <w:szCs w:val="22"/>
          <w:lang w:val="es-ES"/>
        </w:rPr>
        <w:t>C</w:t>
      </w:r>
      <w:r w:rsidRPr="00B41302">
        <w:rPr>
          <w:rFonts w:ascii="Noto Sans" w:hAnsi="Noto Sans" w:cs="Noto Sans"/>
          <w:sz w:val="22"/>
          <w:szCs w:val="22"/>
          <w:lang w:val="es-ES"/>
        </w:rPr>
        <w:t xml:space="preserve">onsejera </w:t>
      </w:r>
      <w:r>
        <w:rPr>
          <w:rFonts w:ascii="Noto Sans" w:hAnsi="Noto Sans" w:cs="Noto Sans"/>
          <w:sz w:val="22"/>
          <w:szCs w:val="22"/>
        </w:rPr>
        <w:t>de Agricultura, Pesca y Alimentació            La presidenta</w:t>
      </w:r>
    </w:p>
    <w:p w14:paraId="72AA798A" w14:textId="77777777" w:rsidR="009E7A89" w:rsidRDefault="009E7A89" w:rsidP="009E7A89">
      <w:pPr>
        <w:pStyle w:val="Standard"/>
        <w:spacing w:line="276" w:lineRule="auto"/>
        <w:rPr>
          <w:rFonts w:ascii="Noto Sans" w:hAnsi="Noto Sans" w:cs="Noto Sans"/>
          <w:sz w:val="22"/>
          <w:szCs w:val="22"/>
        </w:rPr>
      </w:pPr>
    </w:p>
    <w:p w14:paraId="11059747" w14:textId="77777777" w:rsidR="009E7A89" w:rsidRDefault="009E7A89" w:rsidP="009E7A89">
      <w:pPr>
        <w:pStyle w:val="Standard"/>
        <w:spacing w:line="276" w:lineRule="auto"/>
        <w:rPr>
          <w:rFonts w:ascii="Noto Sans" w:hAnsi="Noto Sans" w:cs="Noto Sans"/>
          <w:sz w:val="22"/>
          <w:szCs w:val="22"/>
        </w:rPr>
      </w:pPr>
    </w:p>
    <w:p w14:paraId="1E892C47" w14:textId="77777777" w:rsidR="009E7A89" w:rsidRDefault="009E7A89" w:rsidP="009E7A89">
      <w:pPr>
        <w:pStyle w:val="Standard"/>
        <w:spacing w:line="276" w:lineRule="auto"/>
        <w:rPr>
          <w:rFonts w:ascii="Noto Sans" w:hAnsi="Noto Sans" w:cs="Noto Sans"/>
          <w:sz w:val="22"/>
          <w:szCs w:val="22"/>
        </w:rPr>
      </w:pPr>
      <w:r>
        <w:rPr>
          <w:rFonts w:ascii="Noto Sans" w:hAnsi="Noto Sans" w:cs="Noto Sans"/>
          <w:sz w:val="22"/>
          <w:szCs w:val="22"/>
        </w:rPr>
        <w:t xml:space="preserve">María Asunción </w:t>
      </w:r>
      <w:proofErr w:type="spellStart"/>
      <w:r>
        <w:rPr>
          <w:rFonts w:ascii="Noto Sans" w:hAnsi="Noto Sans" w:cs="Noto Sans"/>
          <w:sz w:val="22"/>
          <w:szCs w:val="22"/>
        </w:rPr>
        <w:t>Jacoba</w:t>
      </w:r>
      <w:proofErr w:type="spellEnd"/>
      <w:r>
        <w:rPr>
          <w:rFonts w:ascii="Noto Sans" w:hAnsi="Noto Sans" w:cs="Noto Sans"/>
          <w:sz w:val="22"/>
          <w:szCs w:val="22"/>
        </w:rPr>
        <w:t xml:space="preserve"> Pía de la </w:t>
      </w:r>
      <w:proofErr w:type="spellStart"/>
      <w:r>
        <w:rPr>
          <w:rFonts w:ascii="Noto Sans" w:hAnsi="Noto Sans" w:cs="Noto Sans"/>
          <w:sz w:val="22"/>
          <w:szCs w:val="22"/>
        </w:rPr>
        <w:t>Concha</w:t>
      </w:r>
      <w:proofErr w:type="spellEnd"/>
      <w:r>
        <w:rPr>
          <w:rFonts w:ascii="Noto Sans" w:hAnsi="Noto Sans" w:cs="Noto Sans"/>
          <w:sz w:val="22"/>
          <w:szCs w:val="22"/>
        </w:rPr>
        <w:t xml:space="preserve">                            Francina Armengol i </w:t>
      </w:r>
      <w:proofErr w:type="spellStart"/>
      <w:r>
        <w:rPr>
          <w:rFonts w:ascii="Noto Sans" w:hAnsi="Noto Sans" w:cs="Noto Sans"/>
          <w:sz w:val="22"/>
          <w:szCs w:val="22"/>
        </w:rPr>
        <w:t>Socias</w:t>
      </w:r>
      <w:proofErr w:type="spellEnd"/>
    </w:p>
    <w:p w14:paraId="0B2754D7" w14:textId="77777777" w:rsidR="00602658" w:rsidRDefault="009E7A89" w:rsidP="009E7A89">
      <w:pPr>
        <w:rPr>
          <w:rFonts w:ascii="Noto Sans" w:hAnsi="Noto Sans" w:cs="Noto Sans"/>
          <w:sz w:val="22"/>
          <w:szCs w:val="22"/>
        </w:rPr>
      </w:pPr>
      <w:r>
        <w:rPr>
          <w:rFonts w:ascii="Noto Sans" w:hAnsi="Noto Sans" w:cs="Noto Sans"/>
          <w:sz w:val="22"/>
          <w:szCs w:val="22"/>
        </w:rPr>
        <w:t>García-</w:t>
      </w:r>
      <w:proofErr w:type="spellStart"/>
      <w:r>
        <w:rPr>
          <w:rFonts w:ascii="Noto Sans" w:hAnsi="Noto Sans" w:cs="Noto Sans"/>
          <w:sz w:val="22"/>
          <w:szCs w:val="22"/>
        </w:rPr>
        <w:t>Mauriño</w:t>
      </w:r>
      <w:proofErr w:type="spellEnd"/>
      <w:r>
        <w:rPr>
          <w:rFonts w:ascii="Noto Sans" w:hAnsi="Noto Sans" w:cs="Noto Sans"/>
          <w:sz w:val="22"/>
          <w:szCs w:val="22"/>
        </w:rPr>
        <w:t xml:space="preserve">                        </w:t>
      </w:r>
    </w:p>
    <w:p w14:paraId="1C8ED50E" w14:textId="77777777" w:rsidR="00602658" w:rsidRDefault="00602658">
      <w:pPr>
        <w:suppressAutoHyphens w:val="0"/>
        <w:rPr>
          <w:rFonts w:ascii="Noto Sans" w:hAnsi="Noto Sans" w:cs="Noto Sans"/>
          <w:sz w:val="22"/>
          <w:szCs w:val="22"/>
        </w:rPr>
      </w:pPr>
      <w:r>
        <w:rPr>
          <w:rFonts w:ascii="Noto Sans" w:hAnsi="Noto Sans" w:cs="Noto Sans"/>
          <w:sz w:val="22"/>
          <w:szCs w:val="22"/>
        </w:rPr>
        <w:br w:type="page"/>
      </w:r>
    </w:p>
    <w:p w14:paraId="2E9028C5" w14:textId="77777777" w:rsidR="00602658" w:rsidRDefault="00602658" w:rsidP="00602658">
      <w:pPr>
        <w:pStyle w:val="Standard"/>
        <w:spacing w:line="276" w:lineRule="auto"/>
        <w:jc w:val="both"/>
        <w:rPr>
          <w:rFonts w:ascii="Noto Sans" w:hAnsi="Noto Sans" w:cs="Noto Sans"/>
          <w:b/>
          <w:bCs/>
          <w:sz w:val="22"/>
          <w:szCs w:val="22"/>
        </w:rPr>
      </w:pPr>
      <w:r>
        <w:rPr>
          <w:rFonts w:ascii="Noto Sans" w:hAnsi="Noto Sans" w:cs="Noto Sans"/>
          <w:b/>
          <w:bCs/>
          <w:sz w:val="22"/>
          <w:szCs w:val="22"/>
        </w:rPr>
        <w:lastRenderedPageBreak/>
        <w:t>ANNEXO 1</w:t>
      </w:r>
    </w:p>
    <w:p w14:paraId="6B78C742" w14:textId="77777777" w:rsidR="00602658" w:rsidRDefault="00602658" w:rsidP="00602658">
      <w:pPr>
        <w:pStyle w:val="Standard"/>
        <w:spacing w:line="276" w:lineRule="auto"/>
        <w:jc w:val="both"/>
        <w:rPr>
          <w:rFonts w:ascii="Noto Sans" w:hAnsi="Noto Sans" w:cs="Noto Sans"/>
          <w:b/>
          <w:bCs/>
          <w:sz w:val="22"/>
          <w:szCs w:val="22"/>
        </w:rPr>
      </w:pPr>
      <w:r>
        <w:rPr>
          <w:rFonts w:ascii="Noto Sans" w:hAnsi="Noto Sans" w:cs="Noto Sans"/>
          <w:b/>
          <w:bCs/>
          <w:noProof/>
          <w:sz w:val="22"/>
          <w:szCs w:val="22"/>
        </w:rPr>
        <w:drawing>
          <wp:anchor distT="0" distB="0" distL="114300" distR="114300" simplePos="0" relativeHeight="251659264" behindDoc="0" locked="0" layoutInCell="1" allowOverlap="1" wp14:anchorId="27CED7A8" wp14:editId="4534089F">
            <wp:simplePos x="0" y="0"/>
            <wp:positionH relativeFrom="column">
              <wp:align>center</wp:align>
            </wp:positionH>
            <wp:positionV relativeFrom="paragraph">
              <wp:align>top</wp:align>
            </wp:positionV>
            <wp:extent cx="5399280" cy="7837919"/>
            <wp:effectExtent l="0" t="0" r="0" b="0"/>
            <wp:wrapSquare wrapText="bothSides"/>
            <wp:docPr id="3" name="Imatg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5399280" cy="7837919"/>
                    </a:xfrm>
                    <a:prstGeom prst="rect">
                      <a:avLst/>
                    </a:prstGeom>
                  </pic:spPr>
                </pic:pic>
              </a:graphicData>
            </a:graphic>
          </wp:anchor>
        </w:drawing>
      </w:r>
    </w:p>
    <w:p w14:paraId="138129F0" w14:textId="77777777" w:rsidR="00602658" w:rsidRDefault="00602658" w:rsidP="00602658">
      <w:pPr>
        <w:pStyle w:val="Standard"/>
        <w:spacing w:line="276" w:lineRule="auto"/>
        <w:jc w:val="both"/>
        <w:rPr>
          <w:rFonts w:ascii="Noto Sans" w:hAnsi="Noto Sans" w:cs="Noto Sans"/>
          <w:b/>
          <w:bCs/>
          <w:sz w:val="22"/>
          <w:szCs w:val="22"/>
        </w:rPr>
      </w:pPr>
    </w:p>
    <w:p w14:paraId="5D329282" w14:textId="77777777" w:rsidR="00602658" w:rsidRDefault="00602658" w:rsidP="00602658">
      <w:pPr>
        <w:pStyle w:val="Standard"/>
        <w:spacing w:line="276" w:lineRule="auto"/>
        <w:jc w:val="both"/>
        <w:rPr>
          <w:rFonts w:ascii="Noto Sans" w:hAnsi="Noto Sans" w:cs="Noto Sans"/>
          <w:b/>
          <w:bCs/>
          <w:sz w:val="22"/>
          <w:szCs w:val="22"/>
        </w:rPr>
      </w:pPr>
    </w:p>
    <w:p w14:paraId="782B7983" w14:textId="77777777" w:rsidR="00602658" w:rsidRDefault="00602658" w:rsidP="00602658">
      <w:pPr>
        <w:pStyle w:val="Standard"/>
        <w:spacing w:line="276" w:lineRule="auto"/>
        <w:jc w:val="both"/>
        <w:rPr>
          <w:rFonts w:ascii="Noto Sans" w:hAnsi="Noto Sans" w:cs="Noto Sans"/>
          <w:b/>
          <w:bCs/>
          <w:sz w:val="22"/>
          <w:szCs w:val="22"/>
        </w:rPr>
      </w:pPr>
    </w:p>
    <w:p w14:paraId="36E19332" w14:textId="77777777" w:rsidR="00602658" w:rsidRDefault="00602658" w:rsidP="00602658">
      <w:pPr>
        <w:pStyle w:val="Standard"/>
        <w:spacing w:line="276" w:lineRule="auto"/>
        <w:jc w:val="both"/>
        <w:rPr>
          <w:rFonts w:ascii="Noto Sans" w:hAnsi="Noto Sans" w:cs="Noto Sans"/>
          <w:b/>
          <w:bCs/>
          <w:sz w:val="22"/>
          <w:szCs w:val="22"/>
        </w:rPr>
      </w:pPr>
      <w:r>
        <w:rPr>
          <w:rFonts w:ascii="Noto Sans" w:hAnsi="Noto Sans" w:cs="Noto Sans"/>
          <w:b/>
          <w:bCs/>
          <w:noProof/>
          <w:sz w:val="22"/>
          <w:szCs w:val="22"/>
        </w:rPr>
        <w:drawing>
          <wp:anchor distT="0" distB="0" distL="114300" distR="114300" simplePos="0" relativeHeight="251661312" behindDoc="0" locked="0" layoutInCell="1" allowOverlap="1" wp14:anchorId="783B8543" wp14:editId="1E7462D0">
            <wp:simplePos x="0" y="0"/>
            <wp:positionH relativeFrom="column">
              <wp:align>center</wp:align>
            </wp:positionH>
            <wp:positionV relativeFrom="paragraph">
              <wp:align>top</wp:align>
            </wp:positionV>
            <wp:extent cx="5399280" cy="7062480"/>
            <wp:effectExtent l="0" t="0" r="0" b="5070"/>
            <wp:wrapSquare wrapText="bothSides"/>
            <wp:docPr id="4" name="Imatge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5399280" cy="7062480"/>
                    </a:xfrm>
                    <a:prstGeom prst="rect">
                      <a:avLst/>
                    </a:prstGeom>
                  </pic:spPr>
                </pic:pic>
              </a:graphicData>
            </a:graphic>
          </wp:anchor>
        </w:drawing>
      </w:r>
    </w:p>
    <w:p w14:paraId="06D8C1B4" w14:textId="77777777" w:rsidR="00602658" w:rsidRDefault="00602658" w:rsidP="00602658">
      <w:pPr>
        <w:pStyle w:val="Standard"/>
        <w:spacing w:line="276" w:lineRule="auto"/>
        <w:jc w:val="both"/>
        <w:rPr>
          <w:rFonts w:ascii="Noto Sans" w:hAnsi="Noto Sans" w:cs="Noto Sans"/>
          <w:b/>
          <w:bCs/>
          <w:sz w:val="22"/>
          <w:szCs w:val="22"/>
        </w:rPr>
      </w:pPr>
    </w:p>
    <w:p w14:paraId="448BD661" w14:textId="77777777" w:rsidR="00602658" w:rsidRDefault="00602658" w:rsidP="00602658">
      <w:pPr>
        <w:pStyle w:val="Standard"/>
        <w:spacing w:line="276" w:lineRule="auto"/>
        <w:jc w:val="both"/>
        <w:rPr>
          <w:rFonts w:ascii="Noto Sans" w:hAnsi="Noto Sans" w:cs="Noto Sans"/>
          <w:b/>
          <w:bCs/>
          <w:sz w:val="22"/>
          <w:szCs w:val="22"/>
        </w:rPr>
      </w:pPr>
    </w:p>
    <w:p w14:paraId="43AC25B9" w14:textId="77777777" w:rsidR="00602658" w:rsidRDefault="00602658" w:rsidP="00602658">
      <w:pPr>
        <w:pStyle w:val="Standard"/>
        <w:spacing w:line="276" w:lineRule="auto"/>
        <w:jc w:val="both"/>
        <w:rPr>
          <w:rFonts w:ascii="Noto Sans" w:hAnsi="Noto Sans" w:cs="Noto Sans"/>
          <w:b/>
          <w:bCs/>
          <w:sz w:val="22"/>
          <w:szCs w:val="22"/>
        </w:rPr>
      </w:pPr>
    </w:p>
    <w:p w14:paraId="43DF88C4" w14:textId="77777777" w:rsidR="00602658" w:rsidRDefault="00602658" w:rsidP="00602658">
      <w:pPr>
        <w:pStyle w:val="Standard"/>
        <w:spacing w:line="276" w:lineRule="auto"/>
        <w:jc w:val="both"/>
        <w:rPr>
          <w:rFonts w:ascii="Noto Sans" w:hAnsi="Noto Sans" w:cs="Noto Sans"/>
          <w:b/>
          <w:bCs/>
          <w:sz w:val="22"/>
          <w:szCs w:val="22"/>
        </w:rPr>
      </w:pPr>
    </w:p>
    <w:p w14:paraId="7FD8B7C6" w14:textId="2DFFA812" w:rsidR="00602658" w:rsidRDefault="00602658" w:rsidP="00602658">
      <w:pPr>
        <w:pStyle w:val="Standard"/>
        <w:spacing w:line="276" w:lineRule="auto"/>
        <w:jc w:val="both"/>
        <w:rPr>
          <w:rFonts w:ascii="Noto Sans" w:hAnsi="Noto Sans" w:cs="Noto Sans"/>
          <w:b/>
          <w:bCs/>
          <w:sz w:val="22"/>
          <w:szCs w:val="22"/>
        </w:rPr>
      </w:pPr>
      <w:r>
        <w:rPr>
          <w:rFonts w:ascii="Noto Sans" w:hAnsi="Noto Sans" w:cs="Noto Sans"/>
          <w:b/>
          <w:bCs/>
          <w:sz w:val="22"/>
          <w:szCs w:val="22"/>
        </w:rPr>
        <w:lastRenderedPageBreak/>
        <w:t>ANNEXO 2</w:t>
      </w:r>
    </w:p>
    <w:p w14:paraId="380F28EE" w14:textId="77777777" w:rsidR="00602658" w:rsidRDefault="00602658" w:rsidP="00602658">
      <w:pPr>
        <w:pStyle w:val="Standard"/>
        <w:spacing w:line="276" w:lineRule="auto"/>
        <w:jc w:val="both"/>
        <w:rPr>
          <w:rFonts w:ascii="Noto Sans" w:hAnsi="Noto Sans" w:cs="Noto Sans"/>
          <w:b/>
          <w:bCs/>
          <w:sz w:val="22"/>
          <w:szCs w:val="22"/>
        </w:rPr>
      </w:pPr>
      <w:r>
        <w:rPr>
          <w:rFonts w:ascii="Noto Sans" w:hAnsi="Noto Sans" w:cs="Noto Sans"/>
          <w:b/>
          <w:bCs/>
          <w:noProof/>
          <w:sz w:val="22"/>
          <w:szCs w:val="22"/>
        </w:rPr>
        <w:drawing>
          <wp:anchor distT="0" distB="0" distL="114300" distR="114300" simplePos="0" relativeHeight="251660288" behindDoc="0" locked="0" layoutInCell="1" allowOverlap="1" wp14:anchorId="71FF889F" wp14:editId="73292B67">
            <wp:simplePos x="0" y="0"/>
            <wp:positionH relativeFrom="column">
              <wp:align>center</wp:align>
            </wp:positionH>
            <wp:positionV relativeFrom="paragraph">
              <wp:align>top</wp:align>
            </wp:positionV>
            <wp:extent cx="5399280" cy="7389360"/>
            <wp:effectExtent l="0" t="0" r="0" b="2040"/>
            <wp:wrapSquare wrapText="bothSides"/>
            <wp:docPr id="5" name="Imatg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a:alphaModFix/>
                    </a:blip>
                    <a:srcRect/>
                    <a:stretch>
                      <a:fillRect/>
                    </a:stretch>
                  </pic:blipFill>
                  <pic:spPr>
                    <a:xfrm>
                      <a:off x="0" y="0"/>
                      <a:ext cx="5399280" cy="7389360"/>
                    </a:xfrm>
                    <a:prstGeom prst="rect">
                      <a:avLst/>
                    </a:prstGeom>
                  </pic:spPr>
                </pic:pic>
              </a:graphicData>
            </a:graphic>
          </wp:anchor>
        </w:drawing>
      </w:r>
    </w:p>
    <w:p w14:paraId="38A211FF" w14:textId="77777777" w:rsidR="00602658" w:rsidRDefault="00602658" w:rsidP="00602658">
      <w:pPr>
        <w:pStyle w:val="Standard"/>
        <w:spacing w:line="276" w:lineRule="auto"/>
        <w:jc w:val="both"/>
        <w:rPr>
          <w:rFonts w:ascii="Noto Sans" w:hAnsi="Noto Sans" w:cs="Noto Sans"/>
          <w:b/>
          <w:bCs/>
          <w:sz w:val="22"/>
          <w:szCs w:val="22"/>
        </w:rPr>
      </w:pPr>
    </w:p>
    <w:p w14:paraId="3C992DD1" w14:textId="77777777" w:rsidR="00602658" w:rsidRDefault="00602658" w:rsidP="00602658">
      <w:pPr>
        <w:pStyle w:val="Standard"/>
        <w:spacing w:line="276" w:lineRule="auto"/>
        <w:jc w:val="both"/>
        <w:rPr>
          <w:rFonts w:ascii="Noto Sans" w:hAnsi="Noto Sans" w:cs="Noto Sans"/>
          <w:b/>
          <w:bCs/>
          <w:sz w:val="22"/>
          <w:szCs w:val="22"/>
        </w:rPr>
      </w:pPr>
    </w:p>
    <w:p w14:paraId="5B7F7E05" w14:textId="77777777" w:rsidR="00602658" w:rsidRDefault="00602658" w:rsidP="00602658">
      <w:pPr>
        <w:pStyle w:val="Standard"/>
        <w:spacing w:line="276" w:lineRule="auto"/>
        <w:jc w:val="both"/>
        <w:rPr>
          <w:rFonts w:ascii="Noto Sans" w:hAnsi="Noto Sans" w:cs="Noto Sans"/>
          <w:b/>
          <w:bCs/>
          <w:sz w:val="22"/>
          <w:szCs w:val="22"/>
        </w:rPr>
      </w:pPr>
    </w:p>
    <w:p w14:paraId="45127084" w14:textId="77777777" w:rsidR="00602658" w:rsidRDefault="00602658" w:rsidP="00602658">
      <w:pPr>
        <w:pStyle w:val="Standard"/>
        <w:spacing w:line="276" w:lineRule="auto"/>
        <w:jc w:val="both"/>
        <w:rPr>
          <w:rFonts w:ascii="Noto Sans" w:hAnsi="Noto Sans" w:cs="Noto Sans"/>
          <w:b/>
          <w:bCs/>
          <w:sz w:val="22"/>
          <w:szCs w:val="22"/>
        </w:rPr>
      </w:pPr>
    </w:p>
    <w:p w14:paraId="6F73449A" w14:textId="77777777" w:rsidR="00602658" w:rsidRDefault="00602658" w:rsidP="00602658">
      <w:pPr>
        <w:pStyle w:val="Standard"/>
        <w:spacing w:line="276" w:lineRule="auto"/>
        <w:jc w:val="both"/>
        <w:rPr>
          <w:rFonts w:ascii="Noto Sans" w:hAnsi="Noto Sans" w:cs="Noto Sans"/>
          <w:b/>
          <w:bCs/>
          <w:sz w:val="22"/>
          <w:szCs w:val="22"/>
        </w:rPr>
      </w:pPr>
    </w:p>
    <w:p w14:paraId="341BC12E" w14:textId="77777777" w:rsidR="00602658" w:rsidRDefault="00602658" w:rsidP="00602658">
      <w:pPr>
        <w:pStyle w:val="Standard"/>
        <w:spacing w:line="276" w:lineRule="auto"/>
        <w:jc w:val="both"/>
        <w:rPr>
          <w:rFonts w:ascii="Noto Sans" w:hAnsi="Noto Sans" w:cs="Noto Sans"/>
          <w:b/>
          <w:bCs/>
          <w:sz w:val="22"/>
          <w:szCs w:val="22"/>
        </w:rPr>
      </w:pPr>
      <w:r>
        <w:rPr>
          <w:rFonts w:ascii="Noto Sans" w:hAnsi="Noto Sans" w:cs="Noto Sans"/>
          <w:b/>
          <w:bCs/>
          <w:noProof/>
          <w:sz w:val="22"/>
          <w:szCs w:val="22"/>
        </w:rPr>
        <w:drawing>
          <wp:anchor distT="0" distB="0" distL="114300" distR="114300" simplePos="0" relativeHeight="251662336" behindDoc="0" locked="0" layoutInCell="1" allowOverlap="1" wp14:anchorId="0D730123" wp14:editId="0FFF52CA">
            <wp:simplePos x="0" y="0"/>
            <wp:positionH relativeFrom="column">
              <wp:align>center</wp:align>
            </wp:positionH>
            <wp:positionV relativeFrom="paragraph">
              <wp:align>top</wp:align>
            </wp:positionV>
            <wp:extent cx="5399280" cy="7007759"/>
            <wp:effectExtent l="0" t="0" r="0" b="2641"/>
            <wp:wrapSquare wrapText="bothSides"/>
            <wp:docPr id="2" name="Imatge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5399280" cy="7007759"/>
                    </a:xfrm>
                    <a:prstGeom prst="rect">
                      <a:avLst/>
                    </a:prstGeom>
                  </pic:spPr>
                </pic:pic>
              </a:graphicData>
            </a:graphic>
          </wp:anchor>
        </w:drawing>
      </w:r>
    </w:p>
    <w:p w14:paraId="41885F62" w14:textId="7EEE71C0" w:rsidR="00B72590" w:rsidRPr="001B142B" w:rsidRDefault="009E7A89" w:rsidP="009E7A89">
      <w:pPr>
        <w:rPr>
          <w:szCs w:val="22"/>
        </w:rPr>
      </w:pPr>
      <w:r>
        <w:rPr>
          <w:rFonts w:ascii="Noto Sans" w:hAnsi="Noto Sans" w:cs="Noto Sans"/>
          <w:sz w:val="22"/>
          <w:szCs w:val="22"/>
        </w:rPr>
        <w:t xml:space="preserve">              </w:t>
      </w:r>
    </w:p>
    <w:sectPr w:rsidR="00B72590" w:rsidRPr="001B142B" w:rsidSect="003419D5">
      <w:headerReference w:type="even" r:id="rId12"/>
      <w:headerReference w:type="default" r:id="rId13"/>
      <w:footerReference w:type="even" r:id="rId14"/>
      <w:footerReference w:type="default" r:id="rId15"/>
      <w:headerReference w:type="first" r:id="rId16"/>
      <w:footerReference w:type="first" r:id="rId17"/>
      <w:pgSz w:w="11906" w:h="16838" w:code="9"/>
      <w:pgMar w:top="1276" w:right="851" w:bottom="1701" w:left="255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3AF1D9" w14:textId="77777777" w:rsidR="00E24B99" w:rsidRDefault="00E24B99" w:rsidP="002F3D33">
      <w:r>
        <w:separator/>
      </w:r>
    </w:p>
  </w:endnote>
  <w:endnote w:type="continuationSeparator" w:id="0">
    <w:p w14:paraId="0A4C5666" w14:textId="77777777" w:rsidR="00E24B99" w:rsidRDefault="00E24B99"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w:charset w:val="00"/>
    <w:family w:val="swiss"/>
    <w:pitch w:val="variable"/>
    <w:sig w:usb0="E00002FF" w:usb1="400078FF" w:usb2="08000029" w:usb3="00000000" w:csb0="0000019F" w:csb1="00000000"/>
  </w:font>
  <w:font w:name="LegacySanITCBoo">
    <w:altName w:val="Calibri"/>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5A410" w14:textId="77777777" w:rsidR="00C00EE8" w:rsidRDefault="00C00EE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051F6C" w:rsidRPr="00144C26" w14:paraId="2C7A4F80" w14:textId="77777777" w:rsidTr="00B340FE">
      <w:trPr>
        <w:trHeight w:val="1140"/>
      </w:trPr>
      <w:tc>
        <w:tcPr>
          <w:tcW w:w="1985" w:type="dxa"/>
          <w:tcBorders>
            <w:top w:val="nil"/>
            <w:left w:val="nil"/>
            <w:bottom w:val="nil"/>
            <w:right w:val="nil"/>
          </w:tcBorders>
          <w:vAlign w:val="bottom"/>
        </w:tcPr>
        <w:p w14:paraId="0806A5FE" w14:textId="77777777" w:rsidR="00051F6C" w:rsidRPr="00901173" w:rsidRDefault="00051F6C" w:rsidP="000A6DBF">
          <w:pPr>
            <w:pStyle w:val="Peudepgina"/>
            <w:rPr>
              <w:rFonts w:ascii="Noto Sans" w:hAnsi="Noto Sans" w:cs="Noto Sans"/>
              <w:lang w:val="ca-ES"/>
            </w:rPr>
          </w:pPr>
          <w:r>
            <w:rPr>
              <w:rFonts w:ascii="Noto Sans" w:hAnsi="Noto Sans" w:cs="Noto Sans"/>
              <w:lang w:val="ca-ES"/>
            </w:rPr>
            <w:t>C. d’Eusebi Estada, 145</w:t>
          </w:r>
        </w:p>
        <w:p w14:paraId="021AC084" w14:textId="77777777" w:rsidR="00051F6C" w:rsidRPr="00901173" w:rsidRDefault="00051F6C" w:rsidP="000A6DBF">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14:paraId="5758471E" w14:textId="77777777" w:rsidR="00051F6C" w:rsidRPr="00901173" w:rsidRDefault="00051F6C" w:rsidP="000A6DBF">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77</w:t>
          </w:r>
          <w:r w:rsidRPr="00901173">
            <w:rPr>
              <w:rFonts w:ascii="Noto Sans" w:hAnsi="Noto Sans" w:cs="Noto Sans"/>
              <w:lang w:val="ca-ES"/>
            </w:rPr>
            <w:t xml:space="preserve"> </w:t>
          </w:r>
          <w:r>
            <w:rPr>
              <w:rFonts w:ascii="Noto Sans" w:hAnsi="Noto Sans" w:cs="Noto Sans"/>
              <w:lang w:val="ca-ES"/>
            </w:rPr>
            <w:t>44</w:t>
          </w:r>
        </w:p>
        <w:p w14:paraId="70AD2875" w14:textId="77777777" w:rsidR="00051F6C" w:rsidRPr="00144C26" w:rsidRDefault="00051F6C" w:rsidP="000A6DBF">
          <w:pPr>
            <w:pStyle w:val="Peudepgina"/>
            <w:rPr>
              <w:rFonts w:ascii="Noto Sans" w:hAnsi="Noto Sans" w:cs="Noto Sans"/>
            </w:rPr>
          </w:pPr>
          <w:r>
            <w:rPr>
              <w:rFonts w:ascii="Noto Sans" w:hAnsi="Noto Sans" w:cs="Noto Sans"/>
              <w:color w:val="C30045"/>
              <w:lang w:val="ca-ES"/>
            </w:rPr>
            <w:t>maap.caib.es</w:t>
          </w:r>
        </w:p>
      </w:tc>
      <w:tc>
        <w:tcPr>
          <w:tcW w:w="3345" w:type="dxa"/>
          <w:tcBorders>
            <w:top w:val="nil"/>
            <w:left w:val="nil"/>
            <w:bottom w:val="nil"/>
            <w:right w:val="nil"/>
          </w:tcBorders>
        </w:tcPr>
        <w:p w14:paraId="3DF60A30" w14:textId="77777777" w:rsidR="00051F6C" w:rsidRPr="00144C26" w:rsidRDefault="00051F6C" w:rsidP="00842E51">
          <w:pPr>
            <w:pStyle w:val="Peudepgina"/>
            <w:jc w:val="center"/>
            <w:rPr>
              <w:rFonts w:ascii="Noto Sans" w:hAnsi="Noto Sans" w:cs="Noto Sans"/>
            </w:rPr>
          </w:pPr>
        </w:p>
      </w:tc>
      <w:tc>
        <w:tcPr>
          <w:tcW w:w="1985" w:type="dxa"/>
          <w:tcBorders>
            <w:top w:val="nil"/>
            <w:left w:val="nil"/>
            <w:bottom w:val="nil"/>
            <w:right w:val="nil"/>
          </w:tcBorders>
          <w:vAlign w:val="bottom"/>
        </w:tcPr>
        <w:p w14:paraId="22F1ACAE" w14:textId="77777777" w:rsidR="00051F6C" w:rsidRPr="00144C26" w:rsidRDefault="0034448B" w:rsidP="003403A6">
          <w:pPr>
            <w:pStyle w:val="Nmerodepgina"/>
            <w:rPr>
              <w:rFonts w:ascii="Noto Sans" w:hAnsi="Noto Sans" w:cs="Noto Sans"/>
            </w:rPr>
          </w:pPr>
          <w:r w:rsidRPr="00144C26">
            <w:rPr>
              <w:rFonts w:ascii="Noto Sans" w:hAnsi="Noto Sans" w:cs="Noto Sans"/>
            </w:rPr>
            <w:fldChar w:fldCharType="begin"/>
          </w:r>
          <w:r w:rsidR="00051F6C" w:rsidRPr="00144C26">
            <w:rPr>
              <w:rFonts w:ascii="Noto Sans" w:hAnsi="Noto Sans" w:cs="Noto Sans"/>
            </w:rPr>
            <w:instrText>PAGE   \* MERGEFORMAT</w:instrText>
          </w:r>
          <w:r w:rsidRPr="00144C26">
            <w:rPr>
              <w:rFonts w:ascii="Noto Sans" w:hAnsi="Noto Sans" w:cs="Noto Sans"/>
            </w:rPr>
            <w:fldChar w:fldCharType="separate"/>
          </w:r>
          <w:r w:rsidR="001B142B">
            <w:rPr>
              <w:rFonts w:ascii="Noto Sans" w:hAnsi="Noto Sans" w:cs="Noto Sans"/>
              <w:noProof/>
            </w:rPr>
            <w:t>38</w:t>
          </w:r>
          <w:r w:rsidRPr="00144C26">
            <w:rPr>
              <w:rFonts w:ascii="Noto Sans" w:hAnsi="Noto Sans" w:cs="Noto Sans"/>
            </w:rPr>
            <w:fldChar w:fldCharType="end"/>
          </w:r>
        </w:p>
      </w:tc>
    </w:tr>
  </w:tbl>
  <w:p w14:paraId="6B48B57E" w14:textId="77777777" w:rsidR="00051F6C" w:rsidRPr="00144C26" w:rsidRDefault="00051F6C">
    <w:pPr>
      <w:pStyle w:val="Piedepgina"/>
      <w:rPr>
        <w:rFonts w:cs="Noto Sans"/>
        <w:sz w:val="15"/>
        <w:szCs w:val="15"/>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051F6C" w:rsidRPr="00901173" w14:paraId="659AE83F" w14:textId="77777777" w:rsidTr="00B340FE">
      <w:trPr>
        <w:trHeight w:val="1140"/>
      </w:trPr>
      <w:tc>
        <w:tcPr>
          <w:tcW w:w="1985" w:type="dxa"/>
          <w:tcBorders>
            <w:top w:val="nil"/>
            <w:left w:val="nil"/>
            <w:bottom w:val="nil"/>
            <w:right w:val="nil"/>
          </w:tcBorders>
          <w:vAlign w:val="bottom"/>
        </w:tcPr>
        <w:p w14:paraId="3373A2F2" w14:textId="77777777" w:rsidR="00051F6C" w:rsidRPr="00901173" w:rsidRDefault="00051F6C" w:rsidP="00B340FE">
          <w:pPr>
            <w:pStyle w:val="Peudepgina"/>
            <w:rPr>
              <w:rFonts w:ascii="Noto Sans" w:hAnsi="Noto Sans" w:cs="Noto Sans"/>
              <w:lang w:val="ca-ES"/>
            </w:rPr>
          </w:pPr>
          <w:r>
            <w:rPr>
              <w:rFonts w:ascii="Noto Sans" w:hAnsi="Noto Sans" w:cs="Noto Sans"/>
              <w:lang w:val="ca-ES"/>
            </w:rPr>
            <w:t>C. d’Eusebi Estada, 145</w:t>
          </w:r>
        </w:p>
        <w:p w14:paraId="763EE5D8" w14:textId="77777777" w:rsidR="00051F6C" w:rsidRPr="00901173" w:rsidRDefault="00051F6C" w:rsidP="00B340FE">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14:paraId="660477B1" w14:textId="77777777" w:rsidR="00051F6C" w:rsidRPr="00901173" w:rsidRDefault="00051F6C" w:rsidP="00B340FE">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77</w:t>
          </w:r>
          <w:r w:rsidRPr="00901173">
            <w:rPr>
              <w:rFonts w:ascii="Noto Sans" w:hAnsi="Noto Sans" w:cs="Noto Sans"/>
              <w:lang w:val="ca-ES"/>
            </w:rPr>
            <w:t xml:space="preserve"> </w:t>
          </w:r>
          <w:r>
            <w:rPr>
              <w:rFonts w:ascii="Noto Sans" w:hAnsi="Noto Sans" w:cs="Noto Sans"/>
              <w:lang w:val="ca-ES"/>
            </w:rPr>
            <w:t>44</w:t>
          </w:r>
        </w:p>
        <w:p w14:paraId="5470B49D" w14:textId="77777777" w:rsidR="00051F6C" w:rsidRPr="00901173" w:rsidRDefault="00051F6C" w:rsidP="00B340FE">
          <w:pPr>
            <w:pStyle w:val="Peudepgina"/>
            <w:rPr>
              <w:rFonts w:ascii="Noto Sans" w:hAnsi="Noto Sans" w:cs="Noto Sans"/>
              <w:color w:val="C30045"/>
            </w:rPr>
          </w:pPr>
          <w:r>
            <w:rPr>
              <w:rFonts w:ascii="Noto Sans" w:hAnsi="Noto Sans" w:cs="Noto Sans"/>
              <w:color w:val="C30045"/>
              <w:lang w:val="ca-ES"/>
            </w:rPr>
            <w:t>maap.caib.es</w:t>
          </w:r>
        </w:p>
      </w:tc>
      <w:tc>
        <w:tcPr>
          <w:tcW w:w="3345" w:type="dxa"/>
          <w:tcBorders>
            <w:top w:val="nil"/>
            <w:left w:val="nil"/>
            <w:bottom w:val="nil"/>
            <w:right w:val="nil"/>
          </w:tcBorders>
        </w:tcPr>
        <w:p w14:paraId="02CDD9C9" w14:textId="77777777" w:rsidR="00051F6C" w:rsidRPr="00901173" w:rsidRDefault="00051F6C" w:rsidP="00842E51">
          <w:pPr>
            <w:pStyle w:val="Peudepgina"/>
            <w:jc w:val="center"/>
            <w:rPr>
              <w:rFonts w:ascii="Noto Sans" w:hAnsi="Noto Sans" w:cs="Noto Sans"/>
            </w:rPr>
          </w:pPr>
        </w:p>
      </w:tc>
      <w:tc>
        <w:tcPr>
          <w:tcW w:w="1985" w:type="dxa"/>
          <w:tcBorders>
            <w:top w:val="nil"/>
            <w:left w:val="nil"/>
            <w:bottom w:val="nil"/>
            <w:right w:val="nil"/>
          </w:tcBorders>
        </w:tcPr>
        <w:p w14:paraId="2E2892F7" w14:textId="77777777" w:rsidR="00051F6C" w:rsidRPr="00901173" w:rsidRDefault="00051F6C" w:rsidP="003403A6">
          <w:pPr>
            <w:pStyle w:val="Peudepgina"/>
            <w:rPr>
              <w:rFonts w:ascii="Noto Sans" w:hAnsi="Noto Sans" w:cs="Noto Sans"/>
            </w:rPr>
          </w:pPr>
        </w:p>
      </w:tc>
    </w:tr>
  </w:tbl>
  <w:p w14:paraId="02CC938E" w14:textId="77777777" w:rsidR="00051F6C" w:rsidRPr="00901173" w:rsidRDefault="00051F6C" w:rsidP="00AF6E68">
    <w:pPr>
      <w:pStyle w:val="Piedepgina"/>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C0064C" w14:textId="77777777" w:rsidR="00E24B99" w:rsidRDefault="00E24B99" w:rsidP="002F3D33">
      <w:r>
        <w:separator/>
      </w:r>
    </w:p>
  </w:footnote>
  <w:footnote w:type="continuationSeparator" w:id="0">
    <w:p w14:paraId="7F8ED38F" w14:textId="77777777" w:rsidR="00E24B99" w:rsidRDefault="00E24B99"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BEE02" w14:textId="0154030B" w:rsidR="00C00EE8" w:rsidRDefault="00C00EE8">
    <w:pPr>
      <w:pStyle w:val="Encabezado"/>
    </w:pPr>
    <w:r>
      <w:rPr>
        <w:noProof/>
      </w:rPr>
      <w:pict w14:anchorId="5192A1B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910235" o:spid="_x0000_s12291" type="#_x0000_t136" style="position:absolute;margin-left:0;margin-top:0;width:499.5pt;height:99.9pt;rotation:315;z-index:-251651584;mso-position-horizontal:center;mso-position-horizontal-relative:margin;mso-position-vertical:center;mso-position-vertical-relative:margin" o:allowincell="f" fillcolor="silver" stroked="f">
          <v:fill opacity=".5"/>
          <v:textpath style="font-family:&quot;LegacySanITCBoo&quot;;font-size:1pt" string="BORRADOR"/>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B02CF" w14:textId="6E729826" w:rsidR="00051F6C" w:rsidRPr="001E65C6" w:rsidRDefault="00C00EE8">
    <w:pPr>
      <w:pStyle w:val="Encabezado"/>
      <w:rPr>
        <w:rFonts w:ascii="Noto Sans" w:hAnsi="Noto Sans" w:cs="Noto Sans"/>
      </w:rPr>
    </w:pPr>
    <w:r>
      <w:rPr>
        <w:noProof/>
      </w:rPr>
      <w:pict w14:anchorId="245F134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910236" o:spid="_x0000_s12292" type="#_x0000_t136" style="position:absolute;margin-left:0;margin-top:0;width:499.5pt;height:99.9pt;rotation:315;z-index:-251649536;mso-position-horizontal:center;mso-position-horizontal-relative:margin;mso-position-vertical:center;mso-position-vertical-relative:margin" o:allowincell="f" fillcolor="silver" stroked="f">
          <v:fill opacity=".5"/>
          <v:textpath style="font-family:&quot;LegacySanITCBoo&quot;;font-size:1pt" string="BORRADOR"/>
        </v:shape>
      </w:pict>
    </w:r>
    <w:r w:rsidR="00051F6C" w:rsidRPr="001E65C6">
      <w:rPr>
        <w:rFonts w:ascii="Noto Sans" w:hAnsi="Noto Sans" w:cs="Noto Sans"/>
        <w:noProof/>
        <w:lang w:val="es-ES" w:eastAsia="es-ES"/>
      </w:rPr>
      <w:drawing>
        <wp:anchor distT="0" distB="0" distL="114300" distR="114300" simplePos="0" relativeHeight="251658752" behindDoc="0" locked="0" layoutInCell="1" allowOverlap="1" wp14:anchorId="0262F28C" wp14:editId="28FF87C7">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B39BB6" w14:textId="271C8B96" w:rsidR="00051F6C" w:rsidRDefault="00C00EE8" w:rsidP="009E7A89">
    <w:pPr>
      <w:pStyle w:val="Encabezado"/>
      <w:spacing w:after="2640"/>
    </w:pPr>
    <w:r>
      <w:rPr>
        <w:noProof/>
      </w:rPr>
      <w:pict w14:anchorId="7F8186C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910234" o:spid="_x0000_s12290" type="#_x0000_t136" style="position:absolute;margin-left:0;margin-top:0;width:499.5pt;height:99.9pt;rotation:315;z-index:-251653632;mso-position-horizontal:center;mso-position-horizontal-relative:margin;mso-position-vertical:center;mso-position-vertical-relative:margin" o:allowincell="f" fillcolor="silver" stroked="f">
          <v:fill opacity=".5"/>
          <v:textpath style="font-family:&quot;LegacySanITCBoo&quot;;font-size:1pt" string="BORRADOR"/>
        </v:shape>
      </w:pict>
    </w:r>
    <w:r w:rsidR="00051F6C">
      <w:rPr>
        <w:noProof/>
        <w:sz w:val="16"/>
        <w:szCs w:val="16"/>
        <w:lang w:val="es-ES" w:eastAsia="es-ES"/>
      </w:rPr>
      <w:drawing>
        <wp:anchor distT="0" distB="0" distL="114300" distR="114300" simplePos="0" relativeHeight="251660800" behindDoc="0" locked="0" layoutInCell="1" allowOverlap="1" wp14:anchorId="6E08A97F" wp14:editId="5D5B5390">
          <wp:simplePos x="0" y="0"/>
          <wp:positionH relativeFrom="column">
            <wp:posOffset>-1128596</wp:posOffset>
          </wp:positionH>
          <wp:positionV relativeFrom="paragraph">
            <wp:posOffset>-120337</wp:posOffset>
          </wp:positionV>
          <wp:extent cx="2302942" cy="145732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_AGR_PES_ALIM_COL.png"/>
                  <pic:cNvPicPr/>
                </pic:nvPicPr>
                <pic:blipFill>
                  <a:blip r:embed="rId1">
                    <a:extLst>
                      <a:ext uri="{28A0092B-C50C-407E-A947-70E740481C1C}">
                        <a14:useLocalDpi xmlns:a14="http://schemas.microsoft.com/office/drawing/2010/main" val="0"/>
                      </a:ext>
                    </a:extLst>
                  </a:blip>
                  <a:stretch>
                    <a:fillRect/>
                  </a:stretch>
                </pic:blipFill>
                <pic:spPr>
                  <a:xfrm>
                    <a:off x="0" y="0"/>
                    <a:ext cx="2306019" cy="1459272"/>
                  </a:xfrm>
                  <a:prstGeom prst="rect">
                    <a:avLst/>
                  </a:prstGeom>
                </pic:spPr>
              </pic:pic>
            </a:graphicData>
          </a:graphic>
        </wp:anchor>
      </w:drawing>
    </w:r>
    <w:r w:rsidR="009E7A89">
      <w:rPr>
        <w:noProof/>
        <w:lang w:val="es-ES" w:eastAsia="es-ES"/>
      </w:rPr>
      <mc:AlternateContent>
        <mc:Choice Requires="wps">
          <w:drawing>
            <wp:anchor distT="0" distB="0" distL="114300" distR="114300" simplePos="0" relativeHeight="251656704" behindDoc="0" locked="0" layoutInCell="1" allowOverlap="1" wp14:anchorId="13A1A0D8" wp14:editId="6FEC358D">
              <wp:simplePos x="0" y="0"/>
              <wp:positionH relativeFrom="margin">
                <wp:posOffset>1374775</wp:posOffset>
              </wp:positionH>
              <wp:positionV relativeFrom="page">
                <wp:posOffset>1508125</wp:posOffset>
              </wp:positionV>
              <wp:extent cx="4024630" cy="1835785"/>
              <wp:effectExtent l="3175" t="3175" r="1270" b="0"/>
              <wp:wrapNone/>
              <wp:docPr id="1" name="Cuadro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4630" cy="183578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94E7384" w14:textId="77777777" w:rsidR="00051F6C" w:rsidRPr="001B016D" w:rsidRDefault="00051F6C" w:rsidP="001B016D">
                          <w:pPr>
                            <w:rPr>
                              <w:rFonts w:ascii="Noto Sans" w:hAnsi="Noto Sans" w:cs="Noto Sans"/>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3A1A0D8" id="_x0000_t202" coordsize="21600,21600" o:spt="202" path="m,l,21600r21600,l21600,xe">
              <v:stroke joinstyle="miter"/>
              <v:path gradientshapeok="t" o:connecttype="rect"/>
            </v:shapetype>
            <v:shape id="Cuadro de texto 9" o:spid="_x0000_s1026" type="#_x0000_t202" style="position:absolute;margin-left:108.25pt;margin-top:118.75pt;width:316.9pt;height:144.5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AY49QEAAMsDAAAOAAAAZHJzL2Uyb0RvYy54bWysU8tu2zAQvBfoPxC817IdO3EFy0HqwEWB&#10;9AEk/QCKoiSiFJdd0pbcr++Schy3uRXVgeByydmd2dH6dugMOyj0GmzBZ5MpZ8pKqLRtCv79afdu&#10;xZkPwlbCgFUFPyrPbzdv36x7l6s5tGAqhYxArM97V/A2BJdnmZet6oSfgFOWkjVgJwKF2GQVip7Q&#10;O5PNp9PrrAesHIJU3tPp/Zjkm4Rf10qGr3XtVWCm4NRbSCumtYxrtlmLvEHhWi1PbYh/6KIT2lLR&#10;M9S9CILtUb+C6rRE8FCHiYQug7rWUiUOxGY2/YvNYyucSlxIHO/OMvn/Byu/HB7dN2Rh+AADDTCR&#10;8O4B5A/PLGxbYRt1hwh9q0RFhWdRsqx3Pj89jVL73EeQsv8MFQ1Z7AMkoKHGLqpCPBmh0wCOZ9HV&#10;EJikw8V0vri+opSk3Gx1tbxZLVMNkT8/d+jDRwUdi5uCI001wYvDgw+xHZE/X4nVPBhd7bQxKcCm&#10;3BpkB0EO2KXvhP7HNWPjZQvx2YgYTxLPSG0kGYZyoGTkW0J1JMYIo6PoD6BNC/iLs57cVHD/cy9Q&#10;cWY+WVLt/WyxiPZLwWJ5M6cALzPlZUZYSVAFD5yN220YLbt3qJuWKo1zsnBHStc6afDS1alvckyS&#10;5uTuaMnLON16+Qc3vwEAAP//AwBQSwMEFAAGAAgAAAAhAPLkgRveAAAACwEAAA8AAABkcnMvZG93&#10;bnJldi54bWxMj8FOwzAMhu9IvENkJG4sbUfLVJpOCIkrEtvYOWtMU5E4VZNt3Z4ec4Lbb/nT78/N&#10;evZOnHCKQyAF+SIDgdQFM1CvYLd9e1iBiEmT0S4QKrhghHV7e9Po2oQzfeBpk3rBJRRrrcCmNNZS&#10;xs6i13ERRiTefYXJ68Tj1Esz6TOXeyeLLKuk1wPxBatHfLXYfW+OXsG+99f9Zz5O1nj3SO/Xy3YX&#10;BqXu7+aXZxAJ5/QHw68+q0PLTodwJBOFU1DkVckoh+UTByZWZbYEcVBQFlUFsm3k/x/aHwAAAP//&#10;AwBQSwECLQAUAAYACAAAACEAtoM4kv4AAADhAQAAEwAAAAAAAAAAAAAAAAAAAAAAW0NvbnRlbnRf&#10;VHlwZXNdLnhtbFBLAQItABQABgAIAAAAIQA4/SH/1gAAAJQBAAALAAAAAAAAAAAAAAAAAC8BAABf&#10;cmVscy8ucmVsc1BLAQItABQABgAIAAAAIQDHxAY49QEAAMsDAAAOAAAAAAAAAAAAAAAAAC4CAABk&#10;cnMvZTJvRG9jLnhtbFBLAQItABQABgAIAAAAIQDy5IEb3gAAAAsBAAAPAAAAAAAAAAAAAAAAAE8E&#10;AABkcnMvZG93bnJldi54bWxQSwUGAAAAAAQABADzAAAAWgUAAAAA&#10;" stroked="f" strokeweight=".5pt">
              <v:textbox>
                <w:txbxContent>
                  <w:p w14:paraId="194E7384" w14:textId="77777777" w:rsidR="00051F6C" w:rsidRPr="001B016D" w:rsidRDefault="00051F6C" w:rsidP="001B016D">
                    <w:pPr>
                      <w:rPr>
                        <w:rFonts w:ascii="Noto Sans" w:hAnsi="Noto Sans" w:cs="Noto Sans"/>
                        <w:szCs w:val="16"/>
                      </w:rPr>
                    </w:pPr>
                  </w:p>
                </w:txbxContent>
              </v:textbox>
              <w10:wrap anchorx="margin"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decimal"/>
      <w:lvlText w:val="%1."/>
      <w:lvlJc w:val="left"/>
      <w:pPr>
        <w:tabs>
          <w:tab w:val="num" w:pos="0"/>
        </w:tabs>
        <w:ind w:left="502" w:hanging="360"/>
      </w:pPr>
      <w:rPr>
        <w:rFonts w:hint="default"/>
      </w:rPr>
    </w:lvl>
  </w:abstractNum>
  <w:abstractNum w:abstractNumId="1" w15:restartNumberingAfterBreak="0">
    <w:nsid w:val="00000003"/>
    <w:multiLevelType w:val="singleLevel"/>
    <w:tmpl w:val="5D0C2820"/>
    <w:name w:val="WW8Num3"/>
    <w:lvl w:ilvl="0">
      <w:start w:val="1"/>
      <w:numFmt w:val="bullet"/>
      <w:lvlText w:val="‒"/>
      <w:lvlJc w:val="left"/>
      <w:pPr>
        <w:ind w:left="720" w:hanging="360"/>
      </w:pPr>
      <w:rPr>
        <w:rFonts w:ascii="Noto Sans" w:hAnsi="Noto Sans" w:hint="default"/>
        <w:lang w:val="ca-ES"/>
      </w:rPr>
    </w:lvl>
  </w:abstractNum>
  <w:abstractNum w:abstractNumId="2" w15:restartNumberingAfterBreak="0">
    <w:nsid w:val="00000004"/>
    <w:multiLevelType w:val="singleLevel"/>
    <w:tmpl w:val="00000004"/>
    <w:name w:val="WW8Num4"/>
    <w:lvl w:ilvl="0">
      <w:start w:val="1"/>
      <w:numFmt w:val="decimal"/>
      <w:lvlText w:val="%1."/>
      <w:lvlJc w:val="left"/>
      <w:pPr>
        <w:tabs>
          <w:tab w:val="num" w:pos="0"/>
        </w:tabs>
        <w:ind w:left="750" w:hanging="390"/>
      </w:pPr>
      <w:rPr>
        <w:rFonts w:ascii="Noto Sans" w:hAnsi="Noto Sans" w:cs="Noto Sans" w:hint="default"/>
        <w:lang w:val="ca-ES"/>
      </w:rPr>
    </w:lvl>
  </w:abstractNum>
  <w:abstractNum w:abstractNumId="3" w15:restartNumberingAfterBreak="0">
    <w:nsid w:val="00000005"/>
    <w:multiLevelType w:val="singleLevel"/>
    <w:tmpl w:val="00000005"/>
    <w:name w:val="WW8Num5"/>
    <w:lvl w:ilvl="0">
      <w:start w:val="1"/>
      <w:numFmt w:val="decimal"/>
      <w:lvlText w:val="%1."/>
      <w:lvlJc w:val="left"/>
      <w:pPr>
        <w:tabs>
          <w:tab w:val="num" w:pos="0"/>
        </w:tabs>
        <w:ind w:left="644" w:hanging="360"/>
      </w:pPr>
      <w:rPr>
        <w:rFonts w:ascii="Noto Sans" w:hAnsi="Noto Sans" w:cs="Noto Sans" w:hint="default"/>
        <w:sz w:val="22"/>
        <w:szCs w:val="22"/>
        <w:lang w:val="ca-ES" w:eastAsia="en-US"/>
      </w:rPr>
    </w:lvl>
  </w:abstractNum>
  <w:abstractNum w:abstractNumId="4" w15:restartNumberingAfterBreak="0">
    <w:nsid w:val="00000006"/>
    <w:multiLevelType w:val="singleLevel"/>
    <w:tmpl w:val="00000006"/>
    <w:name w:val="WW8Num6"/>
    <w:lvl w:ilvl="0">
      <w:start w:val="1"/>
      <w:numFmt w:val="lowerRoman"/>
      <w:lvlText w:val="%1."/>
      <w:lvlJc w:val="left"/>
      <w:pPr>
        <w:tabs>
          <w:tab w:val="num" w:pos="0"/>
        </w:tabs>
        <w:ind w:left="1080" w:hanging="720"/>
      </w:pPr>
      <w:rPr>
        <w:rFonts w:ascii="LegacySanITCBoo" w:hAnsi="LegacySanITCBoo" w:cs="LegacySanITCBoo" w:hint="default"/>
        <w:sz w:val="26"/>
        <w:szCs w:val="26"/>
        <w:lang w:val="ca-ES"/>
      </w:rPr>
    </w:lvl>
  </w:abstractNum>
  <w:abstractNum w:abstractNumId="5" w15:restartNumberingAfterBreak="0">
    <w:nsid w:val="00000007"/>
    <w:multiLevelType w:val="singleLevel"/>
    <w:tmpl w:val="00000007"/>
    <w:name w:val="WW8Num7"/>
    <w:lvl w:ilvl="0">
      <w:start w:val="1"/>
      <w:numFmt w:val="lowerRoman"/>
      <w:lvlText w:val="%1."/>
      <w:lvlJc w:val="left"/>
      <w:pPr>
        <w:tabs>
          <w:tab w:val="num" w:pos="0"/>
        </w:tabs>
        <w:ind w:left="1080" w:hanging="720"/>
      </w:pPr>
      <w:rPr>
        <w:rFonts w:cs="Noto Sans" w:hint="default"/>
        <w:lang w:val="ca-ES"/>
      </w:rPr>
    </w:lvl>
  </w:abstractNum>
  <w:abstractNum w:abstractNumId="6" w15:restartNumberingAfterBreak="0">
    <w:nsid w:val="00000008"/>
    <w:multiLevelType w:val="singleLevel"/>
    <w:tmpl w:val="00000008"/>
    <w:name w:val="WW8Num8"/>
    <w:lvl w:ilvl="0">
      <w:start w:val="1"/>
      <w:numFmt w:val="decimal"/>
      <w:lvlText w:val="%1."/>
      <w:lvlJc w:val="left"/>
      <w:pPr>
        <w:tabs>
          <w:tab w:val="num" w:pos="0"/>
        </w:tabs>
        <w:ind w:left="720" w:hanging="360"/>
      </w:pPr>
      <w:rPr>
        <w:rFonts w:ascii="Noto Sans" w:hAnsi="Noto Sans" w:cs="Noto Sans" w:hint="default"/>
        <w:lang w:val="ca-ES"/>
      </w:rPr>
    </w:lvl>
  </w:abstractNum>
  <w:abstractNum w:abstractNumId="7" w15:restartNumberingAfterBreak="0">
    <w:nsid w:val="00000009"/>
    <w:multiLevelType w:val="singleLevel"/>
    <w:tmpl w:val="00000009"/>
    <w:name w:val="WW8Num9"/>
    <w:lvl w:ilvl="0">
      <w:start w:val="1"/>
      <w:numFmt w:val="lowerRoman"/>
      <w:lvlText w:val="%1."/>
      <w:lvlJc w:val="left"/>
      <w:pPr>
        <w:tabs>
          <w:tab w:val="num" w:pos="0"/>
        </w:tabs>
        <w:ind w:left="1080" w:hanging="720"/>
      </w:pPr>
      <w:rPr>
        <w:rFonts w:ascii="LegacySanITCBoo" w:hAnsi="LegacySanITCBoo" w:cs="LegacySanITCBoo" w:hint="default"/>
        <w:sz w:val="26"/>
        <w:szCs w:val="22"/>
        <w:lang w:val="ca-ES"/>
      </w:rPr>
    </w:lvl>
  </w:abstractNum>
  <w:abstractNum w:abstractNumId="8" w15:restartNumberingAfterBreak="0">
    <w:nsid w:val="0000000A"/>
    <w:multiLevelType w:val="singleLevel"/>
    <w:tmpl w:val="10A4B578"/>
    <w:name w:val="WW8Num10"/>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9" w15:restartNumberingAfterBreak="0">
    <w:nsid w:val="0B266932"/>
    <w:multiLevelType w:val="multilevel"/>
    <w:tmpl w:val="D4FA1DDC"/>
    <w:styleLink w:val="WW8Num5"/>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44375D5"/>
    <w:multiLevelType w:val="multilevel"/>
    <w:tmpl w:val="8CFC0DB0"/>
    <w:styleLink w:val="WW8Num3"/>
    <w:lvl w:ilvl="0">
      <w:start w:val="1"/>
      <w:numFmt w:val="lowerLetter"/>
      <w:lvlText w:val="%1)"/>
      <w:lvlJc w:val="left"/>
      <w:pPr>
        <w:ind w:left="1080" w:hanging="360"/>
      </w:pPr>
      <w:rPr>
        <w:rFonts w:ascii="Noto Sans" w:hAnsi="Noto Sans" w:cs="Noto Sans"/>
        <w:i w:val="0"/>
        <w:iCs w:val="0"/>
        <w:sz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17E67C58"/>
    <w:multiLevelType w:val="multilevel"/>
    <w:tmpl w:val="FD065DF0"/>
    <w:styleLink w:val="WW8Num7"/>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48A7412"/>
    <w:multiLevelType w:val="multilevel"/>
    <w:tmpl w:val="4C0836B0"/>
    <w:styleLink w:val="WW8Num15"/>
    <w:lvl w:ilvl="0">
      <w:start w:val="3"/>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rPr>
        <w:rFonts w:ascii="Noto Sans" w:hAnsi="Noto Sans" w:cs="Noto Sans"/>
        <w:sz w:val="22"/>
        <w:szCs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327154F"/>
    <w:multiLevelType w:val="multilevel"/>
    <w:tmpl w:val="77E4FA6E"/>
    <w:styleLink w:val="WW8Num2"/>
    <w:lvl w:ilvl="0">
      <w:start w:val="1"/>
      <w:numFmt w:val="lowerLetter"/>
      <w:lvlText w:val="%1)"/>
      <w:lvlJc w:val="left"/>
      <w:pPr>
        <w:ind w:left="720" w:hanging="360"/>
      </w:pPr>
      <w:rPr>
        <w:rFonts w:ascii="Noto Sans" w:hAnsi="Noto Sans" w:cs="Noto Sans"/>
        <w:b w:val="0"/>
        <w:i/>
        <w:color w:val="auto"/>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B062137"/>
    <w:multiLevelType w:val="multilevel"/>
    <w:tmpl w:val="C6F67692"/>
    <w:styleLink w:val="WW8Num12"/>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7D32F9F"/>
    <w:multiLevelType w:val="multilevel"/>
    <w:tmpl w:val="5F20AE74"/>
    <w:styleLink w:val="WW8Num11"/>
    <w:lvl w:ilvl="0">
      <w:start w:val="1"/>
      <w:numFmt w:val="lowerLetter"/>
      <w:lvlText w:val="%1)"/>
      <w:lvlJc w:val="left"/>
      <w:pPr>
        <w:ind w:left="1312" w:hanging="360"/>
      </w:pPr>
      <w:rPr>
        <w:rFonts w:ascii="Noto Sans" w:hAnsi="Noto Sans" w:cs="Noto Sans"/>
        <w:sz w:val="22"/>
        <w:szCs w:val="22"/>
      </w:rPr>
    </w:lvl>
    <w:lvl w:ilvl="1">
      <w:start w:val="1"/>
      <w:numFmt w:val="lowerLetter"/>
      <w:lvlText w:val="%2."/>
      <w:lvlJc w:val="left"/>
      <w:pPr>
        <w:ind w:left="2032" w:hanging="360"/>
      </w:pPr>
    </w:lvl>
    <w:lvl w:ilvl="2">
      <w:start w:val="1"/>
      <w:numFmt w:val="lowerRoman"/>
      <w:lvlText w:val="%3."/>
      <w:lvlJc w:val="right"/>
      <w:pPr>
        <w:ind w:left="2752" w:hanging="180"/>
      </w:pPr>
    </w:lvl>
    <w:lvl w:ilvl="3">
      <w:start w:val="1"/>
      <w:numFmt w:val="decimal"/>
      <w:lvlText w:val="%4."/>
      <w:lvlJc w:val="left"/>
      <w:pPr>
        <w:ind w:left="3472" w:hanging="360"/>
      </w:pPr>
    </w:lvl>
    <w:lvl w:ilvl="4">
      <w:start w:val="1"/>
      <w:numFmt w:val="lowerLetter"/>
      <w:lvlText w:val="%5."/>
      <w:lvlJc w:val="left"/>
      <w:pPr>
        <w:ind w:left="4192" w:hanging="360"/>
      </w:pPr>
    </w:lvl>
    <w:lvl w:ilvl="5">
      <w:start w:val="1"/>
      <w:numFmt w:val="lowerRoman"/>
      <w:lvlText w:val="%6."/>
      <w:lvlJc w:val="right"/>
      <w:pPr>
        <w:ind w:left="4912" w:hanging="180"/>
      </w:pPr>
    </w:lvl>
    <w:lvl w:ilvl="6">
      <w:start w:val="1"/>
      <w:numFmt w:val="decimal"/>
      <w:lvlText w:val="%7."/>
      <w:lvlJc w:val="left"/>
      <w:pPr>
        <w:ind w:left="5632" w:hanging="360"/>
      </w:pPr>
    </w:lvl>
    <w:lvl w:ilvl="7">
      <w:start w:val="1"/>
      <w:numFmt w:val="lowerLetter"/>
      <w:lvlText w:val="%8."/>
      <w:lvlJc w:val="left"/>
      <w:pPr>
        <w:ind w:left="6352" w:hanging="360"/>
      </w:pPr>
    </w:lvl>
    <w:lvl w:ilvl="8">
      <w:start w:val="1"/>
      <w:numFmt w:val="lowerRoman"/>
      <w:lvlText w:val="%9."/>
      <w:lvlJc w:val="right"/>
      <w:pPr>
        <w:ind w:left="7072" w:hanging="180"/>
      </w:pPr>
    </w:lvl>
  </w:abstractNum>
  <w:abstractNum w:abstractNumId="16" w15:restartNumberingAfterBreak="0">
    <w:nsid w:val="4C812F55"/>
    <w:multiLevelType w:val="multilevel"/>
    <w:tmpl w:val="20142944"/>
    <w:styleLink w:val="WW8Num13"/>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0495734"/>
    <w:multiLevelType w:val="multilevel"/>
    <w:tmpl w:val="3B0CAD7A"/>
    <w:styleLink w:val="WW8Num4"/>
    <w:lvl w:ilvl="0">
      <w:start w:val="1"/>
      <w:numFmt w:val="lowerLetter"/>
      <w:lvlText w:val="%1)"/>
      <w:lvlJc w:val="left"/>
      <w:pPr>
        <w:ind w:left="720" w:hanging="360"/>
      </w:pPr>
      <w:rPr>
        <w:rFonts w:ascii="Noto Sans" w:hAnsi="Noto Sans" w:cs="Noto Sans"/>
        <w:b w:val="0"/>
        <w:i/>
        <w:color w:val="auto"/>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B2E44C9"/>
    <w:multiLevelType w:val="multilevel"/>
    <w:tmpl w:val="52142178"/>
    <w:styleLink w:val="WW8Num16"/>
    <w:lvl w:ilvl="0">
      <w:start w:val="1"/>
      <w:numFmt w:val="decimal"/>
      <w:lvlText w:val="%1."/>
      <w:lvlJc w:val="left"/>
      <w:pPr>
        <w:ind w:left="720" w:hanging="360"/>
      </w:pPr>
      <w:rPr>
        <w:rFonts w:ascii="Noto Sans" w:hAnsi="Noto Sans" w:cs="Noto Sans"/>
        <w:sz w:val="22"/>
        <w:szCs w:val="22"/>
      </w:rPr>
    </w:lvl>
    <w:lvl w:ilvl="1">
      <w:start w:val="1"/>
      <w:numFmt w:val="decimal"/>
      <w:lvlText w:val="%2."/>
      <w:lvlJc w:val="left"/>
      <w:pPr>
        <w:ind w:left="1080" w:hanging="360"/>
      </w:pPr>
      <w:rPr>
        <w:rFonts w:ascii="Noto Sans" w:hAnsi="Noto Sans" w:cs="Noto Sans"/>
        <w:sz w:val="22"/>
        <w:szCs w:val="22"/>
      </w:rPr>
    </w:lvl>
    <w:lvl w:ilvl="2">
      <w:start w:val="1"/>
      <w:numFmt w:val="decimal"/>
      <w:lvlText w:val="%3."/>
      <w:lvlJc w:val="left"/>
      <w:pPr>
        <w:ind w:left="1440" w:hanging="360"/>
      </w:pPr>
      <w:rPr>
        <w:rFonts w:ascii="Noto Sans" w:hAnsi="Noto Sans" w:cs="Noto Sans"/>
        <w:sz w:val="22"/>
        <w:szCs w:val="22"/>
      </w:rPr>
    </w:lvl>
    <w:lvl w:ilvl="3">
      <w:start w:val="1"/>
      <w:numFmt w:val="decimal"/>
      <w:lvlText w:val="%4."/>
      <w:lvlJc w:val="left"/>
      <w:pPr>
        <w:ind w:left="1800" w:hanging="360"/>
      </w:pPr>
      <w:rPr>
        <w:rFonts w:ascii="Noto Sans" w:hAnsi="Noto Sans" w:cs="Noto Sans"/>
        <w:sz w:val="22"/>
        <w:szCs w:val="22"/>
      </w:rPr>
    </w:lvl>
    <w:lvl w:ilvl="4">
      <w:start w:val="1"/>
      <w:numFmt w:val="decimal"/>
      <w:lvlText w:val="%5."/>
      <w:lvlJc w:val="left"/>
      <w:pPr>
        <w:ind w:left="2160" w:hanging="360"/>
      </w:pPr>
      <w:rPr>
        <w:rFonts w:ascii="Noto Sans" w:hAnsi="Noto Sans" w:cs="Noto Sans"/>
        <w:sz w:val="22"/>
        <w:szCs w:val="22"/>
      </w:rPr>
    </w:lvl>
    <w:lvl w:ilvl="5">
      <w:start w:val="1"/>
      <w:numFmt w:val="decimal"/>
      <w:lvlText w:val="%6."/>
      <w:lvlJc w:val="left"/>
      <w:pPr>
        <w:ind w:left="2520" w:hanging="360"/>
      </w:pPr>
      <w:rPr>
        <w:rFonts w:ascii="Noto Sans" w:hAnsi="Noto Sans" w:cs="Noto Sans"/>
        <w:sz w:val="22"/>
        <w:szCs w:val="22"/>
      </w:rPr>
    </w:lvl>
    <w:lvl w:ilvl="6">
      <w:start w:val="1"/>
      <w:numFmt w:val="decimal"/>
      <w:lvlText w:val="%7."/>
      <w:lvlJc w:val="left"/>
      <w:pPr>
        <w:ind w:left="2880" w:hanging="360"/>
      </w:pPr>
      <w:rPr>
        <w:rFonts w:ascii="Noto Sans" w:hAnsi="Noto Sans" w:cs="Noto Sans"/>
        <w:sz w:val="22"/>
        <w:szCs w:val="22"/>
      </w:rPr>
    </w:lvl>
    <w:lvl w:ilvl="7">
      <w:start w:val="1"/>
      <w:numFmt w:val="decimal"/>
      <w:lvlText w:val="%8."/>
      <w:lvlJc w:val="left"/>
      <w:pPr>
        <w:ind w:left="3240" w:hanging="360"/>
      </w:pPr>
      <w:rPr>
        <w:rFonts w:ascii="Noto Sans" w:hAnsi="Noto Sans" w:cs="Noto Sans"/>
        <w:sz w:val="22"/>
        <w:szCs w:val="22"/>
      </w:rPr>
    </w:lvl>
    <w:lvl w:ilvl="8">
      <w:start w:val="1"/>
      <w:numFmt w:val="decimal"/>
      <w:lvlText w:val="%9."/>
      <w:lvlJc w:val="left"/>
      <w:pPr>
        <w:ind w:left="3600" w:hanging="360"/>
      </w:pPr>
      <w:rPr>
        <w:rFonts w:ascii="Noto Sans" w:hAnsi="Noto Sans" w:cs="Noto Sans"/>
        <w:sz w:val="22"/>
        <w:szCs w:val="22"/>
      </w:rPr>
    </w:lvl>
  </w:abstractNum>
  <w:abstractNum w:abstractNumId="19" w15:restartNumberingAfterBreak="0">
    <w:nsid w:val="6063753C"/>
    <w:multiLevelType w:val="multilevel"/>
    <w:tmpl w:val="A6C21100"/>
    <w:styleLink w:val="WW8Num14"/>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6B7C508E"/>
    <w:multiLevelType w:val="multilevel"/>
    <w:tmpl w:val="40A8FD96"/>
    <w:styleLink w:val="WW8Num9"/>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6E143E2D"/>
    <w:multiLevelType w:val="hybridMultilevel"/>
    <w:tmpl w:val="FDD69B12"/>
    <w:name w:val="WW8Num22"/>
    <w:lvl w:ilvl="0" w:tplc="21B0AAA4">
      <w:start w:val="3"/>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0901999"/>
    <w:multiLevelType w:val="multilevel"/>
    <w:tmpl w:val="55F4EAD4"/>
    <w:styleLink w:val="WW8Num6"/>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79FB696E"/>
    <w:multiLevelType w:val="multilevel"/>
    <w:tmpl w:val="CAB03E4A"/>
    <w:styleLink w:val="WW8Num8"/>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7EA269CE"/>
    <w:multiLevelType w:val="multilevel"/>
    <w:tmpl w:val="C854D2EA"/>
    <w:styleLink w:val="WW8Num10"/>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373308361">
    <w:abstractNumId w:val="13"/>
  </w:num>
  <w:num w:numId="2" w16cid:durableId="689139771">
    <w:abstractNumId w:val="10"/>
  </w:num>
  <w:num w:numId="3" w16cid:durableId="1187019498">
    <w:abstractNumId w:val="17"/>
  </w:num>
  <w:num w:numId="4" w16cid:durableId="603155457">
    <w:abstractNumId w:val="9"/>
  </w:num>
  <w:num w:numId="5" w16cid:durableId="560793922">
    <w:abstractNumId w:val="22"/>
  </w:num>
  <w:num w:numId="6" w16cid:durableId="1492257342">
    <w:abstractNumId w:val="11"/>
  </w:num>
  <w:num w:numId="7" w16cid:durableId="272445220">
    <w:abstractNumId w:val="23"/>
  </w:num>
  <w:num w:numId="8" w16cid:durableId="1153444764">
    <w:abstractNumId w:val="20"/>
  </w:num>
  <w:num w:numId="9" w16cid:durableId="701325985">
    <w:abstractNumId w:val="24"/>
  </w:num>
  <w:num w:numId="10" w16cid:durableId="93021432">
    <w:abstractNumId w:val="15"/>
  </w:num>
  <w:num w:numId="11" w16cid:durableId="964192147">
    <w:abstractNumId w:val="14"/>
  </w:num>
  <w:num w:numId="12" w16cid:durableId="946430356">
    <w:abstractNumId w:val="16"/>
  </w:num>
  <w:num w:numId="13" w16cid:durableId="1191916534">
    <w:abstractNumId w:val="19"/>
  </w:num>
  <w:num w:numId="14" w16cid:durableId="648094118">
    <w:abstractNumId w:val="12"/>
  </w:num>
  <w:num w:numId="15" w16cid:durableId="265695632">
    <w:abstractNumId w:val="18"/>
  </w:num>
  <w:num w:numId="16" w16cid:durableId="1933127463">
    <w:abstractNumId w:val="9"/>
    <w:lvlOverride w:ilvl="0">
      <w:startOverride w:val="1"/>
    </w:lvlOverride>
  </w:num>
  <w:num w:numId="17" w16cid:durableId="725300770">
    <w:abstractNumId w:val="22"/>
    <w:lvlOverride w:ilvl="0">
      <w:startOverride w:val="1"/>
    </w:lvlOverride>
  </w:num>
  <w:num w:numId="18" w16cid:durableId="124547787">
    <w:abstractNumId w:val="19"/>
    <w:lvlOverride w:ilvl="0">
      <w:startOverride w:val="1"/>
    </w:lvlOverride>
  </w:num>
  <w:num w:numId="19" w16cid:durableId="707679349">
    <w:abstractNumId w:val="13"/>
    <w:lvlOverride w:ilvl="0">
      <w:startOverride w:val="1"/>
    </w:lvlOverride>
  </w:num>
  <w:num w:numId="20" w16cid:durableId="1725909448">
    <w:abstractNumId w:val="24"/>
    <w:lvlOverride w:ilvl="0">
      <w:startOverride w:val="1"/>
    </w:lvlOverride>
  </w:num>
  <w:num w:numId="21" w16cid:durableId="1323702778">
    <w:abstractNumId w:val="17"/>
    <w:lvlOverride w:ilvl="0">
      <w:startOverride w:val="1"/>
    </w:lvlOverride>
  </w:num>
  <w:num w:numId="22" w16cid:durableId="834612867">
    <w:abstractNumId w:val="20"/>
    <w:lvlOverride w:ilvl="0">
      <w:startOverride w:val="1"/>
    </w:lvlOverride>
  </w:num>
  <w:num w:numId="23" w16cid:durableId="457266161">
    <w:abstractNumId w:val="15"/>
    <w:lvlOverride w:ilvl="0">
      <w:startOverride w:val="1"/>
    </w:lvlOverride>
  </w:num>
  <w:num w:numId="24" w16cid:durableId="468328736">
    <w:abstractNumId w:val="12"/>
    <w:lvlOverride w:ilvl="0">
      <w:startOverride w:val="3"/>
    </w:lvlOverride>
  </w:num>
  <w:num w:numId="25" w16cid:durableId="1934507012">
    <w:abstractNumId w:val="14"/>
    <w:lvlOverride w:ilvl="0">
      <w:startOverride w:val="1"/>
    </w:lvlOverride>
  </w:num>
  <w:num w:numId="26" w16cid:durableId="431702359">
    <w:abstractNumId w:val="16"/>
    <w:lvlOverride w:ilvl="0">
      <w:startOverride w:val="1"/>
    </w:lvlOverride>
  </w:num>
  <w:num w:numId="27" w16cid:durableId="1664046869">
    <w:abstractNumId w:val="11"/>
    <w:lvlOverride w:ilvl="0">
      <w:startOverride w:val="1"/>
    </w:lvlOverride>
  </w:num>
  <w:num w:numId="28" w16cid:durableId="2044862335">
    <w:abstractNumId w:val="23"/>
    <w:lvlOverride w:ilvl="0">
      <w:startOverride w:val="1"/>
    </w:lvlOverride>
  </w:num>
  <w:num w:numId="29" w16cid:durableId="47657131">
    <w:abstractNumId w:val="10"/>
    <w:lvlOverride w:ilvl="0">
      <w:startOverride w:val="1"/>
    </w:lvlOverride>
  </w:num>
  <w:num w:numId="30" w16cid:durableId="1586262457">
    <w:abstractNumId w:val="18"/>
    <w:lvlOverride w:ilvl="0">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2293"/>
    <o:shapelayout v:ext="edit">
      <o:idmap v:ext="edit" data="1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7B1F"/>
    <w:rsid w:val="00004CDB"/>
    <w:rsid w:val="0001132A"/>
    <w:rsid w:val="00011FA9"/>
    <w:rsid w:val="000156CD"/>
    <w:rsid w:val="000214BF"/>
    <w:rsid w:val="00023205"/>
    <w:rsid w:val="000237A9"/>
    <w:rsid w:val="00034A40"/>
    <w:rsid w:val="00036B37"/>
    <w:rsid w:val="00050D54"/>
    <w:rsid w:val="00051F6C"/>
    <w:rsid w:val="00065345"/>
    <w:rsid w:val="0006789F"/>
    <w:rsid w:val="00074F0B"/>
    <w:rsid w:val="00092B9B"/>
    <w:rsid w:val="000950E0"/>
    <w:rsid w:val="000A6DBF"/>
    <w:rsid w:val="000A72D2"/>
    <w:rsid w:val="000A7669"/>
    <w:rsid w:val="000B1813"/>
    <w:rsid w:val="000B184C"/>
    <w:rsid w:val="000C0A28"/>
    <w:rsid w:val="000C0E91"/>
    <w:rsid w:val="000C469A"/>
    <w:rsid w:val="000D72A7"/>
    <w:rsid w:val="000D7FC3"/>
    <w:rsid w:val="000E3EC0"/>
    <w:rsid w:val="000F03DE"/>
    <w:rsid w:val="000F0DB1"/>
    <w:rsid w:val="0010508B"/>
    <w:rsid w:val="00110FE4"/>
    <w:rsid w:val="00114152"/>
    <w:rsid w:val="001266B7"/>
    <w:rsid w:val="00130258"/>
    <w:rsid w:val="001321D3"/>
    <w:rsid w:val="00133745"/>
    <w:rsid w:val="00144C26"/>
    <w:rsid w:val="001539EA"/>
    <w:rsid w:val="00162ECF"/>
    <w:rsid w:val="001A69ED"/>
    <w:rsid w:val="001B016D"/>
    <w:rsid w:val="001B142B"/>
    <w:rsid w:val="001B4283"/>
    <w:rsid w:val="001C04BE"/>
    <w:rsid w:val="001C76E5"/>
    <w:rsid w:val="001D2A3E"/>
    <w:rsid w:val="001D3D05"/>
    <w:rsid w:val="001E5FD1"/>
    <w:rsid w:val="001E65C6"/>
    <w:rsid w:val="0020001D"/>
    <w:rsid w:val="00215676"/>
    <w:rsid w:val="00217B1F"/>
    <w:rsid w:val="00222923"/>
    <w:rsid w:val="002266B1"/>
    <w:rsid w:val="00237FB2"/>
    <w:rsid w:val="002502C7"/>
    <w:rsid w:val="00255358"/>
    <w:rsid w:val="0025741D"/>
    <w:rsid w:val="00257BC2"/>
    <w:rsid w:val="002635A5"/>
    <w:rsid w:val="00263F41"/>
    <w:rsid w:val="002673A2"/>
    <w:rsid w:val="00274B09"/>
    <w:rsid w:val="00274B69"/>
    <w:rsid w:val="0027759C"/>
    <w:rsid w:val="00277EF1"/>
    <w:rsid w:val="00290322"/>
    <w:rsid w:val="00292A10"/>
    <w:rsid w:val="0029653D"/>
    <w:rsid w:val="002B129A"/>
    <w:rsid w:val="002C075E"/>
    <w:rsid w:val="002E219A"/>
    <w:rsid w:val="002F1716"/>
    <w:rsid w:val="002F1FA3"/>
    <w:rsid w:val="002F3D33"/>
    <w:rsid w:val="0030347F"/>
    <w:rsid w:val="00307F7A"/>
    <w:rsid w:val="00315EBF"/>
    <w:rsid w:val="00322246"/>
    <w:rsid w:val="00323D33"/>
    <w:rsid w:val="00324717"/>
    <w:rsid w:val="00331224"/>
    <w:rsid w:val="003403A6"/>
    <w:rsid w:val="003419D5"/>
    <w:rsid w:val="0034448B"/>
    <w:rsid w:val="00357840"/>
    <w:rsid w:val="00363FB5"/>
    <w:rsid w:val="00373894"/>
    <w:rsid w:val="00384FE5"/>
    <w:rsid w:val="003866E4"/>
    <w:rsid w:val="003871CF"/>
    <w:rsid w:val="00392DD5"/>
    <w:rsid w:val="003B4293"/>
    <w:rsid w:val="003B77FA"/>
    <w:rsid w:val="003B7D60"/>
    <w:rsid w:val="003C228C"/>
    <w:rsid w:val="003D6529"/>
    <w:rsid w:val="003D785A"/>
    <w:rsid w:val="003F3F05"/>
    <w:rsid w:val="003F6178"/>
    <w:rsid w:val="003F6E57"/>
    <w:rsid w:val="003F771A"/>
    <w:rsid w:val="004541AF"/>
    <w:rsid w:val="00460558"/>
    <w:rsid w:val="00466CDE"/>
    <w:rsid w:val="00474A8D"/>
    <w:rsid w:val="00485578"/>
    <w:rsid w:val="0048720C"/>
    <w:rsid w:val="00493E9D"/>
    <w:rsid w:val="00496486"/>
    <w:rsid w:val="004B42D2"/>
    <w:rsid w:val="004C6BE5"/>
    <w:rsid w:val="004D2A64"/>
    <w:rsid w:val="004E3D7E"/>
    <w:rsid w:val="004E5010"/>
    <w:rsid w:val="004F3E70"/>
    <w:rsid w:val="0050440F"/>
    <w:rsid w:val="005121E9"/>
    <w:rsid w:val="005222AF"/>
    <w:rsid w:val="00550C1F"/>
    <w:rsid w:val="005622F6"/>
    <w:rsid w:val="00563BFD"/>
    <w:rsid w:val="00574AA6"/>
    <w:rsid w:val="00576D9F"/>
    <w:rsid w:val="00581F06"/>
    <w:rsid w:val="005A77E0"/>
    <w:rsid w:val="005B0092"/>
    <w:rsid w:val="005C057F"/>
    <w:rsid w:val="005D61F0"/>
    <w:rsid w:val="005E3236"/>
    <w:rsid w:val="006013FF"/>
    <w:rsid w:val="00602658"/>
    <w:rsid w:val="00611B8E"/>
    <w:rsid w:val="00617110"/>
    <w:rsid w:val="00625BBD"/>
    <w:rsid w:val="00635971"/>
    <w:rsid w:val="00637409"/>
    <w:rsid w:val="006377DF"/>
    <w:rsid w:val="00651C37"/>
    <w:rsid w:val="00651D45"/>
    <w:rsid w:val="00662C01"/>
    <w:rsid w:val="00662FD4"/>
    <w:rsid w:val="00665F17"/>
    <w:rsid w:val="00672DC3"/>
    <w:rsid w:val="00674590"/>
    <w:rsid w:val="006762AC"/>
    <w:rsid w:val="006776B5"/>
    <w:rsid w:val="00685238"/>
    <w:rsid w:val="006B4CEB"/>
    <w:rsid w:val="006C5013"/>
    <w:rsid w:val="006C717A"/>
    <w:rsid w:val="006D1DD4"/>
    <w:rsid w:val="006E0AD4"/>
    <w:rsid w:val="006F0D2E"/>
    <w:rsid w:val="006F7860"/>
    <w:rsid w:val="007018FA"/>
    <w:rsid w:val="007057A9"/>
    <w:rsid w:val="00711333"/>
    <w:rsid w:val="00716E54"/>
    <w:rsid w:val="0072100A"/>
    <w:rsid w:val="007265EF"/>
    <w:rsid w:val="00732BF1"/>
    <w:rsid w:val="0074473A"/>
    <w:rsid w:val="00750C99"/>
    <w:rsid w:val="007557C5"/>
    <w:rsid w:val="00755B88"/>
    <w:rsid w:val="007567B3"/>
    <w:rsid w:val="00762AF0"/>
    <w:rsid w:val="00762CDE"/>
    <w:rsid w:val="00765EFB"/>
    <w:rsid w:val="00772EEB"/>
    <w:rsid w:val="00773DE6"/>
    <w:rsid w:val="00774D29"/>
    <w:rsid w:val="00780431"/>
    <w:rsid w:val="00787654"/>
    <w:rsid w:val="007A4CBA"/>
    <w:rsid w:val="007B4BC7"/>
    <w:rsid w:val="007B5CC1"/>
    <w:rsid w:val="007C0007"/>
    <w:rsid w:val="007C13C2"/>
    <w:rsid w:val="007D487C"/>
    <w:rsid w:val="007E4981"/>
    <w:rsid w:val="007F2F8B"/>
    <w:rsid w:val="007F36BC"/>
    <w:rsid w:val="007F6F4F"/>
    <w:rsid w:val="0081333C"/>
    <w:rsid w:val="008225EE"/>
    <w:rsid w:val="00823F3B"/>
    <w:rsid w:val="0083131D"/>
    <w:rsid w:val="0083573F"/>
    <w:rsid w:val="008413FC"/>
    <w:rsid w:val="00842E51"/>
    <w:rsid w:val="008442CE"/>
    <w:rsid w:val="008450EB"/>
    <w:rsid w:val="00847E79"/>
    <w:rsid w:val="00861DD2"/>
    <w:rsid w:val="00871106"/>
    <w:rsid w:val="00872B70"/>
    <w:rsid w:val="00874FF2"/>
    <w:rsid w:val="008779AA"/>
    <w:rsid w:val="00884FC7"/>
    <w:rsid w:val="00895D5B"/>
    <w:rsid w:val="008A09F1"/>
    <w:rsid w:val="008A0BCD"/>
    <w:rsid w:val="008A2B6B"/>
    <w:rsid w:val="008A3278"/>
    <w:rsid w:val="008A4F91"/>
    <w:rsid w:val="008A636B"/>
    <w:rsid w:val="008B7970"/>
    <w:rsid w:val="008E248C"/>
    <w:rsid w:val="008E5F14"/>
    <w:rsid w:val="008F3D44"/>
    <w:rsid w:val="008F622B"/>
    <w:rsid w:val="00901173"/>
    <w:rsid w:val="00907DC0"/>
    <w:rsid w:val="00914F8F"/>
    <w:rsid w:val="0091681B"/>
    <w:rsid w:val="00921952"/>
    <w:rsid w:val="00935875"/>
    <w:rsid w:val="00967FFD"/>
    <w:rsid w:val="0097748E"/>
    <w:rsid w:val="00997411"/>
    <w:rsid w:val="009A0E69"/>
    <w:rsid w:val="009B3FD2"/>
    <w:rsid w:val="009D0416"/>
    <w:rsid w:val="009D05A6"/>
    <w:rsid w:val="009D16C3"/>
    <w:rsid w:val="009D60D7"/>
    <w:rsid w:val="009E7A89"/>
    <w:rsid w:val="009F36D4"/>
    <w:rsid w:val="009F4C02"/>
    <w:rsid w:val="00A2137F"/>
    <w:rsid w:val="00A24F99"/>
    <w:rsid w:val="00A30545"/>
    <w:rsid w:val="00A31C73"/>
    <w:rsid w:val="00A32066"/>
    <w:rsid w:val="00A36FD3"/>
    <w:rsid w:val="00A45203"/>
    <w:rsid w:val="00A503A0"/>
    <w:rsid w:val="00A54E8C"/>
    <w:rsid w:val="00A63627"/>
    <w:rsid w:val="00A64C28"/>
    <w:rsid w:val="00A70754"/>
    <w:rsid w:val="00A81951"/>
    <w:rsid w:val="00A82E88"/>
    <w:rsid w:val="00A90ED1"/>
    <w:rsid w:val="00A9443C"/>
    <w:rsid w:val="00A94FEA"/>
    <w:rsid w:val="00AA2E2E"/>
    <w:rsid w:val="00AB2D46"/>
    <w:rsid w:val="00AC3928"/>
    <w:rsid w:val="00AE63A4"/>
    <w:rsid w:val="00AE7DD6"/>
    <w:rsid w:val="00AF6E68"/>
    <w:rsid w:val="00B002E5"/>
    <w:rsid w:val="00B00A4E"/>
    <w:rsid w:val="00B049DA"/>
    <w:rsid w:val="00B10C91"/>
    <w:rsid w:val="00B2463B"/>
    <w:rsid w:val="00B340FE"/>
    <w:rsid w:val="00B36250"/>
    <w:rsid w:val="00B3721A"/>
    <w:rsid w:val="00B41302"/>
    <w:rsid w:val="00B4748B"/>
    <w:rsid w:val="00B502F2"/>
    <w:rsid w:val="00B522DD"/>
    <w:rsid w:val="00B611B6"/>
    <w:rsid w:val="00B615C5"/>
    <w:rsid w:val="00B70D3B"/>
    <w:rsid w:val="00B72590"/>
    <w:rsid w:val="00B7451F"/>
    <w:rsid w:val="00B845AF"/>
    <w:rsid w:val="00B86DE2"/>
    <w:rsid w:val="00B96B23"/>
    <w:rsid w:val="00BA5DF3"/>
    <w:rsid w:val="00BA67EC"/>
    <w:rsid w:val="00BB51F3"/>
    <w:rsid w:val="00BD129E"/>
    <w:rsid w:val="00BE03C0"/>
    <w:rsid w:val="00BF3976"/>
    <w:rsid w:val="00C004FA"/>
    <w:rsid w:val="00C00EE8"/>
    <w:rsid w:val="00C168B0"/>
    <w:rsid w:val="00C24228"/>
    <w:rsid w:val="00C30964"/>
    <w:rsid w:val="00C33768"/>
    <w:rsid w:val="00C6481A"/>
    <w:rsid w:val="00C77D5C"/>
    <w:rsid w:val="00CB2060"/>
    <w:rsid w:val="00CC2D3B"/>
    <w:rsid w:val="00CC759F"/>
    <w:rsid w:val="00CC7D03"/>
    <w:rsid w:val="00CE74FB"/>
    <w:rsid w:val="00CE7712"/>
    <w:rsid w:val="00CF5372"/>
    <w:rsid w:val="00D047F2"/>
    <w:rsid w:val="00D04BA8"/>
    <w:rsid w:val="00D0530C"/>
    <w:rsid w:val="00D12B6D"/>
    <w:rsid w:val="00D13910"/>
    <w:rsid w:val="00D25886"/>
    <w:rsid w:val="00D40806"/>
    <w:rsid w:val="00D44E04"/>
    <w:rsid w:val="00D572C1"/>
    <w:rsid w:val="00D616E9"/>
    <w:rsid w:val="00D62870"/>
    <w:rsid w:val="00D75D16"/>
    <w:rsid w:val="00D76585"/>
    <w:rsid w:val="00D911CC"/>
    <w:rsid w:val="00DA2F85"/>
    <w:rsid w:val="00DA5056"/>
    <w:rsid w:val="00DC5E31"/>
    <w:rsid w:val="00DC657C"/>
    <w:rsid w:val="00DD7696"/>
    <w:rsid w:val="00DF0E12"/>
    <w:rsid w:val="00DF1C34"/>
    <w:rsid w:val="00DF2AFF"/>
    <w:rsid w:val="00DF7C2E"/>
    <w:rsid w:val="00E011C1"/>
    <w:rsid w:val="00E14DFC"/>
    <w:rsid w:val="00E16ABC"/>
    <w:rsid w:val="00E21BDB"/>
    <w:rsid w:val="00E24B99"/>
    <w:rsid w:val="00E278B4"/>
    <w:rsid w:val="00E331D7"/>
    <w:rsid w:val="00E3324B"/>
    <w:rsid w:val="00E337E2"/>
    <w:rsid w:val="00E37DEA"/>
    <w:rsid w:val="00E57E4B"/>
    <w:rsid w:val="00E7022E"/>
    <w:rsid w:val="00E710FA"/>
    <w:rsid w:val="00E730B2"/>
    <w:rsid w:val="00E85E12"/>
    <w:rsid w:val="00E922C1"/>
    <w:rsid w:val="00EA0467"/>
    <w:rsid w:val="00EA7FAF"/>
    <w:rsid w:val="00EB29FC"/>
    <w:rsid w:val="00EB6531"/>
    <w:rsid w:val="00EB6926"/>
    <w:rsid w:val="00EB69B0"/>
    <w:rsid w:val="00EC0922"/>
    <w:rsid w:val="00EC20FA"/>
    <w:rsid w:val="00EE2A29"/>
    <w:rsid w:val="00EE3B34"/>
    <w:rsid w:val="00EE4EFD"/>
    <w:rsid w:val="00EE655E"/>
    <w:rsid w:val="00EE77C0"/>
    <w:rsid w:val="00EE7C2F"/>
    <w:rsid w:val="00EE7E61"/>
    <w:rsid w:val="00EF3F93"/>
    <w:rsid w:val="00EF4E56"/>
    <w:rsid w:val="00EF6B7C"/>
    <w:rsid w:val="00F1333D"/>
    <w:rsid w:val="00F20634"/>
    <w:rsid w:val="00F409E3"/>
    <w:rsid w:val="00F4487B"/>
    <w:rsid w:val="00F62DA3"/>
    <w:rsid w:val="00F702BF"/>
    <w:rsid w:val="00F8738C"/>
    <w:rsid w:val="00F9551D"/>
    <w:rsid w:val="00FB249B"/>
    <w:rsid w:val="00FB62A9"/>
    <w:rsid w:val="00FD2EBE"/>
    <w:rsid w:val="00FE0D3F"/>
    <w:rsid w:val="00FE6B74"/>
    <w:rsid w:val="00FF2126"/>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93"/>
    <o:shapelayout v:ext="edit">
      <o:idmap v:ext="edit" data="1"/>
    </o:shapelayout>
  </w:shapeDefaults>
  <w:decimalSymbol w:val=","/>
  <w:listSeparator w:val=";"/>
  <w14:docId w14:val="0370EAE3"/>
  <w15:docId w15:val="{7D87810C-D8BF-4CCA-BF5E-B721BB5F6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016D"/>
    <w:pPr>
      <w:suppressAutoHyphens/>
    </w:pPr>
    <w:rPr>
      <w:rFonts w:ascii="LegacySanITCBoo" w:eastAsia="Times New Roman" w:hAnsi="LegacySanITCBoo"/>
      <w:sz w:val="26"/>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styleId="Prrafodelista">
    <w:name w:val="List Paragraph"/>
    <w:basedOn w:val="Normal"/>
    <w:qFormat/>
    <w:rsid w:val="007F2F8B"/>
    <w:pPr>
      <w:ind w:left="720"/>
      <w:contextualSpacing/>
    </w:pPr>
  </w:style>
  <w:style w:type="paragraph" w:styleId="Textoindependiente">
    <w:name w:val="Body Text"/>
    <w:basedOn w:val="Normal"/>
    <w:link w:val="TextoindependienteCar"/>
    <w:rsid w:val="00662C01"/>
    <w:pPr>
      <w:suppressAutoHyphens w:val="0"/>
      <w:jc w:val="both"/>
    </w:pPr>
    <w:rPr>
      <w:rFonts w:ascii="Arial" w:hAnsi="Arial" w:cs="Arial"/>
      <w:sz w:val="20"/>
      <w:lang w:eastAsia="zh-CN"/>
    </w:rPr>
  </w:style>
  <w:style w:type="character" w:customStyle="1" w:styleId="TextoindependienteCar">
    <w:name w:val="Texto independiente Car"/>
    <w:basedOn w:val="Fuentedeprrafopredeter"/>
    <w:link w:val="Textoindependiente"/>
    <w:rsid w:val="00662C01"/>
    <w:rPr>
      <w:rFonts w:ascii="Arial" w:eastAsia="Times New Roman" w:hAnsi="Arial" w:cs="Arial"/>
      <w:lang w:val="ca-ES" w:eastAsia="zh-CN"/>
    </w:rPr>
  </w:style>
  <w:style w:type="paragraph" w:customStyle="1" w:styleId="Standard">
    <w:name w:val="Standard"/>
    <w:rsid w:val="009E7A89"/>
    <w:pPr>
      <w:suppressAutoHyphens/>
      <w:autoSpaceDN w:val="0"/>
      <w:textAlignment w:val="baseline"/>
    </w:pPr>
    <w:rPr>
      <w:rFonts w:ascii="LegacySanITCBoo" w:eastAsia="Times New Roman" w:hAnsi="LegacySanITCBoo" w:cs="LegacySanITCBoo"/>
      <w:kern w:val="3"/>
      <w:sz w:val="26"/>
      <w:lang w:val="ca-ES" w:eastAsia="zh-CN"/>
    </w:rPr>
  </w:style>
  <w:style w:type="character" w:customStyle="1" w:styleId="Internetlink">
    <w:name w:val="Internet link"/>
    <w:basedOn w:val="Fuentedeprrafopredeter"/>
    <w:rsid w:val="009E7A89"/>
    <w:rPr>
      <w:color w:val="0000FF"/>
      <w:u w:val="single"/>
    </w:rPr>
  </w:style>
  <w:style w:type="numbering" w:customStyle="1" w:styleId="WW8Num2">
    <w:name w:val="WW8Num2"/>
    <w:basedOn w:val="Sinlista"/>
    <w:rsid w:val="009E7A89"/>
    <w:pPr>
      <w:numPr>
        <w:numId w:val="1"/>
      </w:numPr>
    </w:pPr>
  </w:style>
  <w:style w:type="numbering" w:customStyle="1" w:styleId="WW8Num3">
    <w:name w:val="WW8Num3"/>
    <w:basedOn w:val="Sinlista"/>
    <w:rsid w:val="009E7A89"/>
    <w:pPr>
      <w:numPr>
        <w:numId w:val="2"/>
      </w:numPr>
    </w:pPr>
  </w:style>
  <w:style w:type="numbering" w:customStyle="1" w:styleId="WW8Num4">
    <w:name w:val="WW8Num4"/>
    <w:basedOn w:val="Sinlista"/>
    <w:rsid w:val="009E7A89"/>
    <w:pPr>
      <w:numPr>
        <w:numId w:val="3"/>
      </w:numPr>
    </w:pPr>
  </w:style>
  <w:style w:type="numbering" w:customStyle="1" w:styleId="WW8Num5">
    <w:name w:val="WW8Num5"/>
    <w:basedOn w:val="Sinlista"/>
    <w:rsid w:val="009E7A89"/>
    <w:pPr>
      <w:numPr>
        <w:numId w:val="4"/>
      </w:numPr>
    </w:pPr>
  </w:style>
  <w:style w:type="numbering" w:customStyle="1" w:styleId="WW8Num6">
    <w:name w:val="WW8Num6"/>
    <w:basedOn w:val="Sinlista"/>
    <w:rsid w:val="009E7A89"/>
    <w:pPr>
      <w:numPr>
        <w:numId w:val="5"/>
      </w:numPr>
    </w:pPr>
  </w:style>
  <w:style w:type="numbering" w:customStyle="1" w:styleId="WW8Num7">
    <w:name w:val="WW8Num7"/>
    <w:basedOn w:val="Sinlista"/>
    <w:rsid w:val="009E7A89"/>
    <w:pPr>
      <w:numPr>
        <w:numId w:val="6"/>
      </w:numPr>
    </w:pPr>
  </w:style>
  <w:style w:type="numbering" w:customStyle="1" w:styleId="WW8Num8">
    <w:name w:val="WW8Num8"/>
    <w:basedOn w:val="Sinlista"/>
    <w:rsid w:val="009E7A89"/>
    <w:pPr>
      <w:numPr>
        <w:numId w:val="7"/>
      </w:numPr>
    </w:pPr>
  </w:style>
  <w:style w:type="numbering" w:customStyle="1" w:styleId="WW8Num9">
    <w:name w:val="WW8Num9"/>
    <w:basedOn w:val="Sinlista"/>
    <w:rsid w:val="009E7A89"/>
    <w:pPr>
      <w:numPr>
        <w:numId w:val="8"/>
      </w:numPr>
    </w:pPr>
  </w:style>
  <w:style w:type="numbering" w:customStyle="1" w:styleId="WW8Num10">
    <w:name w:val="WW8Num10"/>
    <w:basedOn w:val="Sinlista"/>
    <w:rsid w:val="009E7A89"/>
    <w:pPr>
      <w:numPr>
        <w:numId w:val="9"/>
      </w:numPr>
    </w:pPr>
  </w:style>
  <w:style w:type="numbering" w:customStyle="1" w:styleId="WW8Num11">
    <w:name w:val="WW8Num11"/>
    <w:basedOn w:val="Sinlista"/>
    <w:rsid w:val="009E7A89"/>
    <w:pPr>
      <w:numPr>
        <w:numId w:val="10"/>
      </w:numPr>
    </w:pPr>
  </w:style>
  <w:style w:type="numbering" w:customStyle="1" w:styleId="WW8Num12">
    <w:name w:val="WW8Num12"/>
    <w:basedOn w:val="Sinlista"/>
    <w:rsid w:val="009E7A89"/>
    <w:pPr>
      <w:numPr>
        <w:numId w:val="11"/>
      </w:numPr>
    </w:pPr>
  </w:style>
  <w:style w:type="numbering" w:customStyle="1" w:styleId="WW8Num13">
    <w:name w:val="WW8Num13"/>
    <w:basedOn w:val="Sinlista"/>
    <w:rsid w:val="009E7A89"/>
    <w:pPr>
      <w:numPr>
        <w:numId w:val="12"/>
      </w:numPr>
    </w:pPr>
  </w:style>
  <w:style w:type="numbering" w:customStyle="1" w:styleId="WW8Num14">
    <w:name w:val="WW8Num14"/>
    <w:basedOn w:val="Sinlista"/>
    <w:rsid w:val="009E7A89"/>
    <w:pPr>
      <w:numPr>
        <w:numId w:val="13"/>
      </w:numPr>
    </w:pPr>
  </w:style>
  <w:style w:type="numbering" w:customStyle="1" w:styleId="WW8Num15">
    <w:name w:val="WW8Num15"/>
    <w:basedOn w:val="Sinlista"/>
    <w:rsid w:val="009E7A89"/>
    <w:pPr>
      <w:numPr>
        <w:numId w:val="14"/>
      </w:numPr>
    </w:pPr>
  </w:style>
  <w:style w:type="numbering" w:customStyle="1" w:styleId="WW8Num16">
    <w:name w:val="WW8Num16"/>
    <w:basedOn w:val="Sinlista"/>
    <w:rsid w:val="009E7A89"/>
    <w:pPr>
      <w:numPr>
        <w:numId w:val="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BEFD86-26D7-468E-9020-5DFDB9E98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14</Pages>
  <Words>3113</Words>
  <Characters>17122</Characters>
  <Application>Microsoft Office Word</Application>
  <DocSecurity>0</DocSecurity>
  <Lines>142</Lines>
  <Paragraphs>40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Govern de les Illes Balears</Company>
  <LinksUpToDate>false</LinksUpToDate>
  <CharactersWithSpaces>20195</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u139794</dc:creator>
  <cp:lastModifiedBy>Damian Bover Garcias</cp:lastModifiedBy>
  <cp:revision>11</cp:revision>
  <cp:lastPrinted>2020-10-27T09:40:00Z</cp:lastPrinted>
  <dcterms:created xsi:type="dcterms:W3CDTF">2022-06-16T08:11:00Z</dcterms:created>
  <dcterms:modified xsi:type="dcterms:W3CDTF">2022-06-22T11:11:00Z</dcterms:modified>
</cp:coreProperties>
</file>