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FAA6" w14:textId="4053BF27" w:rsidR="00CA38EE" w:rsidRDefault="00994EE6">
      <w:pPr>
        <w:pStyle w:val="Textoindependiente"/>
        <w:spacing w:before="120" w:after="0"/>
        <w:rPr>
          <w:rFonts w:ascii="Noto Sans" w:hAnsi="Noto Sans" w:cs="Calibri Light"/>
          <w:b/>
          <w:bCs/>
        </w:rPr>
      </w:pPr>
      <w:r>
        <w:rPr>
          <w:rStyle w:val="mfasifort"/>
          <w:rFonts w:ascii="Noto Sans" w:hAnsi="Noto Sans" w:cs="Calibri Light"/>
          <w:lang w:val="es-ES"/>
        </w:rPr>
        <w:t>Proyecto de Decreto por el cual se establece un Plan de Gestión para la pesca profesional en las aguas interiores de las bahías de Pollença y Alcúdia, y se modifican el Decreto 10/2019, de 15 de febrero, el Decreto 41/2015, de 22 de mayo, y el Decreto 34/2014, de 1 de agosto</w:t>
      </w:r>
    </w:p>
    <w:p w14:paraId="0E3CA194" w14:textId="77777777" w:rsidR="00CA38EE" w:rsidRDefault="00CA38EE">
      <w:pPr>
        <w:pStyle w:val="LO-Normal"/>
        <w:spacing w:before="120" w:after="0" w:line="276" w:lineRule="auto"/>
        <w:rPr>
          <w:rFonts w:ascii="Noto Sans" w:hAnsi="Noto Sans" w:cs="Calibri Light"/>
          <w:b/>
          <w:bCs/>
          <w:sz w:val="22"/>
          <w:lang w:val="es-ES"/>
        </w:rPr>
      </w:pPr>
    </w:p>
    <w:p w14:paraId="470F5420" w14:textId="77777777" w:rsidR="00CA38EE" w:rsidRDefault="00994EE6">
      <w:pPr>
        <w:pStyle w:val="LO-Normal"/>
        <w:spacing w:before="120" w:after="0" w:line="276" w:lineRule="auto"/>
        <w:rPr>
          <w:rFonts w:ascii="Noto Sans" w:hAnsi="Noto Sans" w:cs="Calibri Light"/>
          <w:b/>
          <w:bCs/>
          <w:sz w:val="22"/>
          <w:lang w:val="es-ES"/>
        </w:rPr>
      </w:pPr>
      <w:r>
        <w:rPr>
          <w:rFonts w:ascii="Noto Sans" w:hAnsi="Noto Sans" w:cs="Calibri Light"/>
          <w:b/>
          <w:bCs/>
          <w:sz w:val="22"/>
          <w:lang w:val="es-ES"/>
        </w:rPr>
        <w:t>PREÁMBULO</w:t>
      </w:r>
    </w:p>
    <w:p w14:paraId="321B33A8" w14:textId="77777777" w:rsidR="00CA38EE" w:rsidRDefault="00CA38EE">
      <w:pPr>
        <w:pStyle w:val="LO-Normal"/>
        <w:spacing w:before="120" w:after="0" w:line="276" w:lineRule="auto"/>
        <w:rPr>
          <w:rFonts w:ascii="Noto Sans" w:hAnsi="Noto Sans" w:cs="Calibri Light"/>
          <w:b/>
          <w:bCs/>
          <w:sz w:val="22"/>
          <w:lang w:val="es-ES"/>
        </w:rPr>
      </w:pPr>
    </w:p>
    <w:p w14:paraId="58997A50" w14:textId="77777777" w:rsidR="00CA38EE" w:rsidRDefault="00994EE6">
      <w:pPr>
        <w:pStyle w:val="LO-Normal"/>
        <w:spacing w:before="120" w:after="0" w:line="276" w:lineRule="auto"/>
        <w:rPr>
          <w:rFonts w:ascii="Noto Sans" w:hAnsi="Noto Sans" w:cs="Calibri Light"/>
          <w:b/>
          <w:bCs/>
          <w:sz w:val="22"/>
          <w:lang w:val="es-ES"/>
        </w:rPr>
      </w:pPr>
      <w:r>
        <w:rPr>
          <w:rFonts w:ascii="Noto Sans" w:hAnsi="Noto Sans" w:cs="Calibri Light"/>
          <w:b/>
          <w:bCs/>
          <w:sz w:val="22"/>
          <w:lang w:val="es-ES"/>
        </w:rPr>
        <w:t>I</w:t>
      </w:r>
    </w:p>
    <w:p w14:paraId="12F63771" w14:textId="77777777" w:rsidR="00CA38EE" w:rsidRDefault="00994EE6">
      <w:pPr>
        <w:pStyle w:val="Textoindependiente"/>
        <w:rPr>
          <w:rFonts w:ascii="Noto Sans" w:hAnsi="Noto Sans"/>
          <w:lang w:val="es-ES"/>
        </w:rPr>
      </w:pPr>
      <w:r>
        <w:rPr>
          <w:rFonts w:ascii="Noto Sans" w:hAnsi="Noto Sans"/>
          <w:lang w:val="es-ES"/>
        </w:rPr>
        <w:t>Las bahías de Pollença y Alcúdia mantienen un modelo de explotación pesquera marcadamente estacional, con una actividad intensa durante los meses de febrero a agosto y una actividad reducida el resto del año, lo que ha permitido conservar los recursos pesqueros de ambas bahías. Este modelo no se ajusta adecuadamente al marco normativo actual, por lo que resulta conveniente redactar una norma específica para la pesca en los caladeros compartidos de dichas bahías. Esta norma debe tener en cuenta, por un lado, los resultados del seguimiento científico y, por otro, los aspectos socioeconómicos, como el hecho de que las embarcaciones faenan a la vista unas de otras, así como la opinión de las cofradías de pescadores afectadas.</w:t>
      </w:r>
    </w:p>
    <w:p w14:paraId="0AB99E81" w14:textId="77777777" w:rsidR="00CA38EE" w:rsidRDefault="00994EE6">
      <w:pPr>
        <w:pStyle w:val="Textoindependiente"/>
        <w:rPr>
          <w:rStyle w:val="Lletraperdefectedelpargraf"/>
          <w:rFonts w:ascii="Noto Sans" w:hAnsi="Noto Sans" w:cs="Calibri Light"/>
          <w:lang w:val="es-ES"/>
        </w:rPr>
      </w:pPr>
      <w:r>
        <w:rPr>
          <w:rFonts w:ascii="Noto Sans" w:hAnsi="Noto Sans"/>
          <w:lang w:val="es-ES"/>
        </w:rPr>
        <w:t>El ámbito de aplicación de este plan de gestión coincide territorialmente con varios espacios naturales protegidos incluidos en la red Natura 2000: el LIC ES5310005 Bahías de Pollença y Alcúdia y el LIC y ZEPA ES0000227 Montañas de Artá, ambos de gestión autonómica; así como la ZEPA ES0000520 Espacio marino del norte de Mallorca, de gestión estatal. Asimismo, dentro de este ámbito se incluyen la Reserva Marina del Levante de Mallorca y el Parque Natural de la Península de Llevant. Todas estas figuras de protección cuentan con su propia normativa específica, la cual debe ser respetada e integrada debidamente en el presente plan de gestión pesquera, de acuerdo con los principios de coherencia normativa y protección ambiental que rigen el marco jurídico vigente.</w:t>
      </w:r>
    </w:p>
    <w:p w14:paraId="0E027409" w14:textId="77777777" w:rsidR="00CA38EE" w:rsidRDefault="00994EE6">
      <w:pPr>
        <w:pStyle w:val="Textoindependiente"/>
        <w:rPr>
          <w:rStyle w:val="Lletraperdefectedelpargraf"/>
          <w:rFonts w:ascii="Noto Sans" w:hAnsi="Noto Sans" w:cs="Calibri Light"/>
          <w:lang w:val="es-ES"/>
        </w:rPr>
      </w:pPr>
      <w:r>
        <w:rPr>
          <w:rStyle w:val="Lletraperdefectedelpargraf"/>
          <w:rFonts w:ascii="Noto Sans" w:hAnsi="Noto Sans" w:cs="Calibri Light"/>
          <w:lang w:val="es-ES"/>
        </w:rPr>
        <w:t>En este sentido, los espacios de la red Natura 2000 disponen de planes de gestión específicos aprobados mediante la normativa correspondiente, destacando el Decreto 31/2007, de 30 de marzo, por el que se aprueba el Plan de Gestión del LIC Bahías de Pollença y Alcúdia (ES5310005), y el Decreto 30/2007, también de 30 de marzo, por el que se aprueba el Plan de Gestión del LIC Montañas de Artá (ES0000227). En ambos planes se establecen disposiciones específicas relativas a la actividad pesquera y a la recogida de muestras, a la protección de especies, y a la vigilancia, como instrumentos clave para garantizar la conservación de los valores ecológicos y el cumplimiento de las medidas de protección establecidas.</w:t>
      </w:r>
    </w:p>
    <w:p w14:paraId="0F2A4774" w14:textId="77777777" w:rsidR="00CA38EE" w:rsidRDefault="00994EE6">
      <w:pPr>
        <w:pStyle w:val="Textoindependiente"/>
        <w:rPr>
          <w:rStyle w:val="Lletraperdefectedelpargraf"/>
          <w:rFonts w:ascii="Noto Sans" w:hAnsi="Noto Sans" w:cs="Calibri Light"/>
          <w:lang w:val="es-ES"/>
        </w:rPr>
      </w:pPr>
      <w:r>
        <w:rPr>
          <w:rFonts w:ascii="Noto Sans" w:hAnsi="Noto Sans"/>
          <w:lang w:val="es-ES"/>
        </w:rPr>
        <w:t>La zona de pesca protegida establecida en el LIC ESZZ16002 Canal de Menorca, de competencia estatal, no tiene afectación sobre el presente Plan de Gestión pesquero, ya que su ámbito de aplicación se encuentra limitado a las aguas interiores.</w:t>
      </w:r>
    </w:p>
    <w:p w14:paraId="6403D9DF" w14:textId="77777777" w:rsidR="00CA38EE" w:rsidRDefault="00994EE6">
      <w:pPr>
        <w:pStyle w:val="Textoindependiente"/>
        <w:rPr>
          <w:rFonts w:ascii="Noto Sans" w:hAnsi="Noto Sans"/>
          <w:lang w:val="es-ES"/>
        </w:rPr>
      </w:pPr>
      <w:r>
        <w:rPr>
          <w:rStyle w:val="Lletraperdefectedelpargraf"/>
          <w:rFonts w:ascii="Noto Sans" w:hAnsi="Noto Sans" w:cs="Calibri Light"/>
          <w:lang w:val="es-ES"/>
        </w:rPr>
        <w:t xml:space="preserve">Asimismo, el Decreto 91/2023, de 15 de diciembre, por el que se regula la pesca marítima y el marisqueo en las zonas que integran la red ecológica europea Natura 2000 declaradas </w:t>
      </w:r>
      <w:r>
        <w:rPr>
          <w:rStyle w:val="Lletraperdefectedelpargraf"/>
          <w:rFonts w:ascii="Noto Sans" w:hAnsi="Noto Sans" w:cs="Calibri Light"/>
          <w:lang w:val="es-ES"/>
        </w:rPr>
        <w:lastRenderedPageBreak/>
        <w:t>por la Comunidad Autónoma de las Illes Balears, incluye los dos espacios de gestión autonómica mencionados anteriormente y establece el régimen aplicable a la pesca y al marisqueo profesional y recreativo.</w:t>
      </w:r>
    </w:p>
    <w:p w14:paraId="02CA2AB7" w14:textId="77777777" w:rsidR="00CA38EE" w:rsidRDefault="00994EE6">
      <w:pPr>
        <w:pStyle w:val="Textoindependiente"/>
        <w:rPr>
          <w:rFonts w:ascii="Noto Sans" w:hAnsi="Noto Sans" w:cs="Calibri Light"/>
          <w:color w:val="70AD47" w:themeColor="accent6"/>
          <w:lang w:val="es-ES"/>
        </w:rPr>
      </w:pPr>
      <w:r>
        <w:rPr>
          <w:rFonts w:ascii="Noto Sans" w:hAnsi="Noto Sans"/>
          <w:lang w:val="es-ES"/>
        </w:rPr>
        <w:t>Cabe destacar que una pequeña parte del ámbito marino incluido en este plan de gestión coincide territorialmente con el Parque Natural de la Península de Llevant, espacio natural protegido declarado mediante el Decreto 127/2001, de 9 de noviembre. La gestión de este espacio se rige por el Plan de Ordenación de los Recursos Naturales de Llevant (PORN), aprobado por el Decreto 8/2023, de 20 de febrero, cuyas disposiciones también han sido debidamente observadas e incorporadas en el presente plan, con el objetivo de garantizar la compatibilidad entre la actividad pesquera y la conservación de los valores naturales de estos entornos protegidos.</w:t>
      </w:r>
    </w:p>
    <w:p w14:paraId="20D554C5" w14:textId="77777777" w:rsidR="00CA38EE" w:rsidRPr="00DD4A3B" w:rsidRDefault="00994EE6">
      <w:pPr>
        <w:pStyle w:val="Textoindependiente"/>
        <w:rPr>
          <w:rFonts w:ascii="Noto Sans" w:hAnsi="Noto Sans"/>
          <w:color w:val="auto"/>
          <w:lang w:val="es-ES"/>
        </w:rPr>
      </w:pPr>
      <w:r w:rsidRPr="00DD4A3B">
        <w:rPr>
          <w:rFonts w:ascii="Noto Sans" w:hAnsi="Noto Sans" w:cs="Calibri Light"/>
          <w:color w:val="auto"/>
          <w:lang w:val="es-ES"/>
        </w:rPr>
        <w:t>Debe tenerse en cuenta que, según el artículo 8.2 del Decreto 8/2023, de 20 de febrero, el PORN de Llevant también tiene la consideración de instrumento de gestión de los tres territorios de la Red Natura 2000 incluidos en este Plan de Gestión para la Pesca (LIC y ZEPA Montañas de Artá ES0000227, LIC Bahías de Pollença y Alcúdia ES5310005, y ZEPA estatal Espacio marino del norte de Mallorca ES0000520), sin perjuicio de la necesidad de disponer, en su caso, de un plan de gestión específico o de adoptar otras medidas de conservación adecuadas.</w:t>
      </w:r>
    </w:p>
    <w:p w14:paraId="3321DC7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Por último, el ámbito de este Plan de Gestión de la pesca incluye también una gran parte de la Reserva Marina del Llevant de Mallorca, por lo que deben tenerse en cuenta tanto su regulación pesquera como las normas específicas aplicables dentro de la zona de reserva integral, gran parte de la cual queda integrada dentro de los límites de este Plan de Gestión.</w:t>
      </w:r>
    </w:p>
    <w:p w14:paraId="3512A17C" w14:textId="77777777" w:rsidR="00CA38EE" w:rsidRPr="00DD4A3B" w:rsidRDefault="00994EE6">
      <w:pPr>
        <w:pStyle w:val="Textoindependiente"/>
        <w:spacing w:before="120" w:after="0"/>
        <w:rPr>
          <w:rFonts w:ascii="Noto Sans" w:hAnsi="Noto Sans"/>
          <w:color w:val="auto"/>
          <w:lang w:val="es-ES"/>
        </w:rPr>
      </w:pPr>
      <w:r w:rsidRPr="00DD4A3B">
        <w:rPr>
          <w:rFonts w:ascii="Noto Sans" w:hAnsi="Noto Sans" w:cs="Calibri Light"/>
          <w:color w:val="auto"/>
          <w:lang w:val="es-ES"/>
        </w:rPr>
        <w:t>El presente Proyecto de Decreto, por el que se establece un Plan de gestión para la pesca profesional en las aguas interiores de las bahías de Pollença y Alcúdia, ha sido sometido a consideración y cuenta con el acuerdo de la Comisión de Seguimiento de la Reserva Marina del Llevant de Mallorca, según lo acordado en la reunión celebrada el 27 de mayo de 2025.</w:t>
      </w:r>
    </w:p>
    <w:p w14:paraId="26C9E1FF" w14:textId="77777777" w:rsidR="00CA38EE" w:rsidRPr="00DD4A3B" w:rsidRDefault="00994EE6">
      <w:pPr>
        <w:pStyle w:val="Textoindependiente"/>
        <w:spacing w:before="120" w:after="0"/>
        <w:rPr>
          <w:rFonts w:ascii="Noto Sans" w:hAnsi="Noto Sans" w:cs="Calibri Light"/>
          <w:color w:val="auto"/>
          <w:lang w:val="es-ES"/>
        </w:rPr>
      </w:pPr>
      <w:r w:rsidRPr="00DD4A3B">
        <w:rPr>
          <w:rFonts w:ascii="Noto Sans" w:hAnsi="Noto Sans" w:cs="Calibri Light"/>
          <w:color w:val="auto"/>
          <w:lang w:val="es-ES"/>
        </w:rPr>
        <w:t>Asimismo, y con el objetivo de avanzar en la mejora del seguimiento y control de la actividad pesquera profesional en las aguas de las Illes Balears, este decreto introduce una modificación en el artículo 2 del Decreto 10/2019, de 15 de febrero, con el fin de incluir la obligación de que las embarcaciones de arrastre se incorporen al Sistema de Localización y Seguimiento de Embarcaciones Pesqueras de las Illes Balears (SLSEPIB) y estén equipadas con la denominada “caja verde”. Esta medida, que ya se aplica a las embarcaciones de artes menores y de cerco, permitirá disponer de una visión integral de la actividad de la totalidad de la flota pesquera profesional, contribuyendo así a una mejor gestión de los recursos pesqueros y a la transparencia en la información disponible sobre el esfuerzo pesquero real en nuestras aguas.</w:t>
      </w:r>
    </w:p>
    <w:p w14:paraId="29EFC636" w14:textId="77777777" w:rsidR="00CA38EE" w:rsidRPr="00DD4A3B" w:rsidRDefault="00994EE6">
      <w:pPr>
        <w:pStyle w:val="Textoindependiente"/>
        <w:spacing w:before="120" w:after="0"/>
        <w:rPr>
          <w:rFonts w:ascii="Noto Sans" w:hAnsi="Noto Sans"/>
          <w:color w:val="auto"/>
          <w:lang w:val="es-ES"/>
        </w:rPr>
      </w:pPr>
      <w:r w:rsidRPr="00DD4A3B">
        <w:rPr>
          <w:rFonts w:ascii="Noto Sans" w:hAnsi="Noto Sans"/>
          <w:color w:val="auto"/>
          <w:lang w:val="es-ES"/>
        </w:rPr>
        <w:t xml:space="preserve">Por otra parte, y con la finalidad de evitar duplicidades normativas y en coherencia con las medidas de gestión que se están tramitando, este decreto modifica también el Decreto 41/2015, de 22 de mayo, por el que se regulan las actividades de extracción de flora o fauna marina y las actividades subacuáticas en las reservas marinas de las aguas interiores del </w:t>
      </w:r>
      <w:r w:rsidRPr="00DD4A3B">
        <w:rPr>
          <w:rFonts w:ascii="Noto Sans" w:hAnsi="Noto Sans"/>
          <w:color w:val="auto"/>
          <w:lang w:val="es-ES"/>
        </w:rPr>
        <w:lastRenderedPageBreak/>
        <w:t>litoral de las Illes Balears. En concreto, se prevé la eliminación de la musola (</w:t>
      </w:r>
      <w:r w:rsidRPr="00DD4A3B">
        <w:rPr>
          <w:rFonts w:ascii="Noto Sans" w:hAnsi="Noto Sans"/>
          <w:i/>
          <w:iCs/>
          <w:color w:val="auto"/>
          <w:lang w:val="es-ES"/>
        </w:rPr>
        <w:t>Mustelus mustelus</w:t>
      </w:r>
      <w:r w:rsidRPr="00DD4A3B">
        <w:rPr>
          <w:rFonts w:ascii="Noto Sans" w:hAnsi="Noto Sans"/>
          <w:color w:val="auto"/>
          <w:lang w:val="es-ES"/>
        </w:rPr>
        <w:t>) del anexo I de especies protegidas en las reservas marinas, dado el establecimiento de una talla mínima de captura para esta especie mediante la Orden 17/2025, de 26 de junio, por la que se establece una talla mínima para las musolas (</w:t>
      </w:r>
      <w:r w:rsidRPr="00DD4A3B">
        <w:rPr>
          <w:rFonts w:ascii="Noto Sans" w:hAnsi="Noto Sans"/>
          <w:i/>
          <w:iCs/>
          <w:color w:val="auto"/>
          <w:lang w:val="es-ES"/>
        </w:rPr>
        <w:t>Mustelus</w:t>
      </w:r>
      <w:r w:rsidRPr="00DD4A3B">
        <w:rPr>
          <w:rFonts w:ascii="Noto Sans" w:hAnsi="Noto Sans"/>
          <w:color w:val="auto"/>
          <w:lang w:val="es-ES"/>
        </w:rPr>
        <w:t xml:space="preserve"> spp.) y se incrementa la talla mínima para la pesca recreativa de la seriola (</w:t>
      </w:r>
      <w:r w:rsidRPr="00DD4A3B">
        <w:rPr>
          <w:rFonts w:ascii="Noto Sans" w:hAnsi="Noto Sans"/>
          <w:i/>
          <w:iCs/>
          <w:color w:val="auto"/>
          <w:lang w:val="es-ES"/>
        </w:rPr>
        <w:t>Seriola dumerili)</w:t>
      </w:r>
      <w:r w:rsidRPr="00DD4A3B">
        <w:rPr>
          <w:rFonts w:ascii="Noto Sans" w:hAnsi="Noto Sans"/>
          <w:color w:val="auto"/>
          <w:lang w:val="es-ES"/>
        </w:rPr>
        <w:t xml:space="preserve"> y del cabracho (</w:t>
      </w:r>
      <w:r w:rsidRPr="00DD4A3B">
        <w:rPr>
          <w:rFonts w:ascii="Noto Sans" w:hAnsi="Noto Sans"/>
          <w:i/>
          <w:iCs/>
          <w:color w:val="auto"/>
          <w:lang w:val="es-ES"/>
        </w:rPr>
        <w:t>Scorpaena scrofa</w:t>
      </w:r>
      <w:r w:rsidRPr="00DD4A3B">
        <w:rPr>
          <w:rFonts w:ascii="Noto Sans" w:hAnsi="Noto Sans"/>
          <w:color w:val="auto"/>
          <w:lang w:val="es-ES"/>
        </w:rPr>
        <w:t>) en el territorio y en las aguas interiores de las Illes Balears. Esta medida, recomendada por el Grupo de Expertos en Elasmobranquios de la Conselleria de Agricultura, Pesca y Medio Natural, tiene como objetivo garantizar la reproducción de la musola y asegurar su conservación mediante el establecimiento de una talla mínima próxima a la de la primera madurez, fijada en 110 cm de longitud total en las Illes Balears.</w:t>
      </w:r>
    </w:p>
    <w:p w14:paraId="6E93BF89" w14:textId="77777777" w:rsidR="00CA38EE" w:rsidRPr="00DD4A3B" w:rsidRDefault="00994EE6">
      <w:pPr>
        <w:pStyle w:val="Textoindependiente"/>
        <w:spacing w:before="120" w:after="0"/>
        <w:rPr>
          <w:rFonts w:ascii="Noto Sans" w:hAnsi="Noto Sans"/>
          <w:color w:val="auto"/>
          <w:lang w:val="es-ES"/>
        </w:rPr>
      </w:pPr>
      <w:r w:rsidRPr="00DD4A3B">
        <w:rPr>
          <w:rFonts w:ascii="Noto Sans" w:hAnsi="Noto Sans"/>
          <w:color w:val="auto"/>
          <w:lang w:val="es-ES"/>
        </w:rPr>
        <w:t>Finalmente, con el objetivo de reducir trámites innecesarios y mejorar la eficiencia administrativa, se propone modificar el artículo 5 del Decreto 34/2014, de 1 de agosto, para que las licencias de pesca submarina tengan una vigencia de tres años en lugar de uno, una antigua reivindicación de los practicantes de la pesca submarina. Esta modificación contribuirá a reducir la carga administrativa tanto para la administración como para la ciudadanía, sin comprometer los mecanismos de control o seguridad. Por todo ello, se considera oportuno reformar el artículo 5 para establecer una validez de tres años, manteniendo los requisitos actuales como la edad mínima, el certificado médico y el seguro en vigor.</w:t>
      </w:r>
    </w:p>
    <w:p w14:paraId="3527D445" w14:textId="77777777" w:rsidR="00CA38EE" w:rsidRPr="00DD4A3B" w:rsidRDefault="00CA38EE">
      <w:pPr>
        <w:pStyle w:val="Textoindependiente"/>
        <w:spacing w:before="120" w:after="0"/>
        <w:rPr>
          <w:rFonts w:ascii="Noto Sans" w:hAnsi="Noto Sans"/>
          <w:b/>
          <w:bCs/>
          <w:color w:val="auto"/>
          <w:lang w:val="es-ES"/>
        </w:rPr>
      </w:pPr>
    </w:p>
    <w:p w14:paraId="54072B50" w14:textId="77777777" w:rsidR="00CA38EE" w:rsidRPr="00DD4A3B" w:rsidRDefault="00994EE6">
      <w:pPr>
        <w:pStyle w:val="Textoindependiente"/>
        <w:spacing w:before="120" w:after="0"/>
        <w:rPr>
          <w:rStyle w:val="Lletraperdefectedelpargraf"/>
          <w:rFonts w:ascii="Noto Sans" w:hAnsi="Noto Sans" w:cs="Calibri Light"/>
          <w:color w:val="auto"/>
          <w:lang w:val="es-ES"/>
        </w:rPr>
      </w:pPr>
      <w:r w:rsidRPr="00DD4A3B">
        <w:rPr>
          <w:rFonts w:ascii="Noto Sans" w:hAnsi="Noto Sans"/>
          <w:b/>
          <w:bCs/>
          <w:color w:val="auto"/>
          <w:lang w:val="es-ES"/>
        </w:rPr>
        <w:t>II</w:t>
      </w:r>
      <w:r w:rsidRPr="00DD4A3B">
        <w:rPr>
          <w:rFonts w:ascii="Noto Sans" w:hAnsi="Noto Sans"/>
          <w:color w:val="auto"/>
          <w:lang w:val="es-ES"/>
        </w:rPr>
        <w:t xml:space="preserve"> </w:t>
      </w:r>
    </w:p>
    <w:p w14:paraId="32158A82" w14:textId="77777777" w:rsidR="00CA38EE" w:rsidRPr="00DD4A3B" w:rsidRDefault="00994EE6">
      <w:pPr>
        <w:pStyle w:val="Textoindependiente"/>
        <w:spacing w:before="120" w:after="0"/>
        <w:rPr>
          <w:rFonts w:ascii="Noto Sans" w:hAnsi="Noto Sans"/>
          <w:color w:val="auto"/>
          <w:lang w:val="es-ES"/>
        </w:rPr>
      </w:pPr>
      <w:r w:rsidRPr="00DD4A3B">
        <w:rPr>
          <w:rFonts w:ascii="Noto Sans" w:hAnsi="Noto Sans"/>
          <w:color w:val="auto"/>
          <w:lang w:val="es-ES"/>
        </w:rPr>
        <w:t>El objetivo primordial del Plan de Gestión es garantizar el mantenimiento de la activ</w:t>
      </w:r>
      <w:r w:rsidRPr="00DD4A3B">
        <w:rPr>
          <w:rStyle w:val="Lletraperdefectedelpargraf"/>
          <w:rFonts w:ascii="Noto Sans" w:hAnsi="Noto Sans" w:cs="Calibri Light"/>
          <w:color w:val="auto"/>
          <w:lang w:val="es-ES"/>
        </w:rPr>
        <w:t>idad, del número de embarcaciones, de la producción y de los puestos de trabajo de la flota pesquera profesional, pero compaginándolo con una reducción del esfuerzo pesquero autorizado. En definitiva, se trata de asegurar la sostenibilidad ambiental, económica y social de la pesca profesional en todas sus modalidades permitidas, incluida la actividad de arrastre regulada. Esta actividad deberá respetar en todo momento los criterios de sostenibilidad ambiental y la coherencia con el resto de instrumentos de planificación pesquera y conservación marina.</w:t>
      </w:r>
    </w:p>
    <w:p w14:paraId="7F6F6D06" w14:textId="77777777" w:rsidR="00CA38EE" w:rsidRPr="00DD4A3B" w:rsidRDefault="00994EE6">
      <w:pPr>
        <w:pStyle w:val="Textoindependiente"/>
        <w:spacing w:before="120" w:after="0"/>
        <w:rPr>
          <w:rFonts w:ascii="Noto Sans" w:hAnsi="Noto Sans"/>
          <w:color w:val="auto"/>
          <w:lang w:val="es-ES"/>
        </w:rPr>
      </w:pPr>
      <w:r w:rsidRPr="00DD4A3B">
        <w:rPr>
          <w:rFonts w:ascii="Noto Sans" w:hAnsi="Noto Sans"/>
          <w:color w:val="auto"/>
          <w:lang w:val="es-ES"/>
        </w:rPr>
        <w:t>En concreto, y en lo que respecta a las medidas destinadas a limitar el esfuerzo pesquero, se trata de reducir el número de días en que se puede pescar, concentrando esta reducción de días en aquellas épocas en las que, tradicionalmente, la actividad es menor. El control y registro de la actividad se basará en la aplicación del Decreto 10/2019, de 15 de febrero, por el que se regula el Sistema de Localización y Seguimiento de Embarcaciones Pesqueras de las Illes Balears (SLSEPIB), junto con la información proporcionada por las notas de venta de las capturas.</w:t>
      </w:r>
    </w:p>
    <w:p w14:paraId="70B66A2D" w14:textId="77777777" w:rsidR="00CA38EE" w:rsidRPr="00DD4A3B" w:rsidRDefault="00994EE6">
      <w:pPr>
        <w:pStyle w:val="Textoindependiente"/>
        <w:rPr>
          <w:rFonts w:ascii="Noto Sans" w:hAnsi="Noto Sans"/>
          <w:color w:val="auto"/>
          <w:lang w:val="es-ES"/>
        </w:rPr>
      </w:pPr>
      <w:r w:rsidRPr="00DD4A3B">
        <w:rPr>
          <w:rStyle w:val="Lletraperdefectedelpargraf"/>
          <w:rFonts w:ascii="Noto Sans" w:hAnsi="Noto Sans" w:cs="Calibri Light"/>
          <w:color w:val="auto"/>
          <w:lang w:val="es-ES"/>
        </w:rPr>
        <w:t xml:space="preserve">Se incorporan como anexos los listados de los puntos tradicionales de calada de los artes de parada y de los artes de tiro utilizados en la modalidad de </w:t>
      </w:r>
      <w:r w:rsidRPr="00DD4A3B">
        <w:rPr>
          <w:rStyle w:val="Lletraperdefectedelpargraf"/>
          <w:rFonts w:ascii="Noto Sans" w:hAnsi="Noto Sans" w:cs="Calibri Light"/>
          <w:i/>
          <w:iCs/>
          <w:color w:val="auto"/>
          <w:lang w:val="es-ES"/>
        </w:rPr>
        <w:t>gerretera</w:t>
      </w:r>
      <w:r w:rsidRPr="00DD4A3B">
        <w:rPr>
          <w:rStyle w:val="Lletraperdefectedelpargraf"/>
          <w:rFonts w:ascii="Noto Sans" w:hAnsi="Noto Sans" w:cs="Calibri Light"/>
          <w:color w:val="auto"/>
          <w:lang w:val="es-ES"/>
        </w:rPr>
        <w:t xml:space="preserve"> dentro del ámbito de aplicación de este Plan, así como el censo de embarcaciones autorizadas para ejercer la actividad pesquera en dicho ámbito.</w:t>
      </w:r>
    </w:p>
    <w:p w14:paraId="211428E0"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Asimismo, para mejorar la gobernanza, se crea la comisión de seguimiento del Plan de Gestión para la pesca profesional en las aguas interiores de las Bahías de Pollença y Alcúdia, órgano de cogestión en el que el sector participará en la toma de decisiones, con representantes de las administraciones afectadas, del sector pesquero, de las instituciones científicas </w:t>
      </w:r>
      <w:r w:rsidRPr="00DD4A3B">
        <w:rPr>
          <w:rFonts w:ascii="Noto Sans" w:hAnsi="Noto Sans"/>
          <w:color w:val="auto"/>
          <w:lang w:val="es-ES"/>
        </w:rPr>
        <w:lastRenderedPageBreak/>
        <w:t>y de las entidades conservacionistas. A este órgano se le otorga la capacidad de gestionar el esfuerzo y las capturas durante la temporada, así como de apoyar las medidas de regulación de la oferta que puedan interesar al sector.</w:t>
      </w:r>
    </w:p>
    <w:p w14:paraId="1D70DBD7"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Por otra parte, y con el fin de garantizar una gestión racional de los recursos pesqueros, se establece un seguimiento administrativo y científico continuado de la pesca profesional, especificando con precisión cómo debe llevarse a cabo dicho seguimiento.</w:t>
      </w:r>
    </w:p>
    <w:p w14:paraId="0DAE7F0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Asimismo, se ha considerado oportuno prever una habilitación para la modificación de algunos de los anexos mediante resolución, dado que la mayoría de estos contienen puntos geográficos y, en cuanto a la habilitación para la modificación del plan de control y seguimiento, resulta necesaria para adaptar las medidas contenidas en éste a la última información científica disponible.</w:t>
      </w:r>
    </w:p>
    <w:p w14:paraId="7A4B102B" w14:textId="77777777" w:rsidR="00CA38EE" w:rsidRPr="00DD4A3B" w:rsidRDefault="00CA38EE">
      <w:pPr>
        <w:pStyle w:val="Textoindependiente"/>
        <w:rPr>
          <w:rFonts w:ascii="Noto Sans" w:hAnsi="Noto Sans"/>
          <w:color w:val="auto"/>
          <w:lang w:val="es-ES"/>
        </w:rPr>
      </w:pPr>
    </w:p>
    <w:p w14:paraId="2CB8346A" w14:textId="77777777" w:rsidR="00CA38EE" w:rsidRPr="00DD4A3B" w:rsidRDefault="00994EE6">
      <w:pPr>
        <w:pStyle w:val="Textoindependiente"/>
        <w:rPr>
          <w:rStyle w:val="Lletraperdefectedelpargraf"/>
          <w:rFonts w:ascii="Noto Sans" w:hAnsi="Noto Sans"/>
          <w:color w:val="auto"/>
          <w:lang w:val="es-ES"/>
        </w:rPr>
      </w:pPr>
      <w:r w:rsidRPr="00DD4A3B">
        <w:rPr>
          <w:rFonts w:ascii="Noto Sans" w:hAnsi="Noto Sans"/>
          <w:b/>
          <w:bCs/>
          <w:color w:val="auto"/>
          <w:lang w:val="es-ES"/>
        </w:rPr>
        <w:t>III</w:t>
      </w:r>
    </w:p>
    <w:p w14:paraId="31BF847A"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La experiencia acumulada en la aplicación y seguimiento de planes de gestión pesqueros en nuestra Comunidad Autónoma, y en particular los resultados obtenidos con el Decreto 15/2022, de 16 de mayo, por el que se establece un plan de gestión para la pesca profesional artesanal en las aguas interiores de las islas Pitiusas, pone de manifiesto la eficacia de este tipo de instrumentos normativos a la hora de ordenar la actividad pesquera, reducir el esfuerzo extractivo y garantizar su sostenibilidad, tanto desde el punto de vista ambiental como socioeconómico.</w:t>
      </w:r>
    </w:p>
    <w:p w14:paraId="1B49F81E"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Este modelo de cogestión, basado en la participación activa del sector pesquero, de las administraciones y de los centros científicos, ha demostrado su capacidad para adaptarse a las realidades cambiantes de los recursos marinos, y para fomentar una gobernanza colaborativa más eficiente y arraigada al territorio. Así, se ha constatado que la aplicación de estos planes permite una gestión más ágil y cercana, al tiempo que incrementa el grado de cumplimiento normativo y de aceptación de las medidas adoptadas.</w:t>
      </w:r>
    </w:p>
    <w:p w14:paraId="7FC0486C"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En este contexto, el presente Plan de Gestión para la pesca profesional en las aguas interiores de las bahías de Pollença y Alcúdia se fundamenta también en estos principios, e integra la participación de las tres cofradías de pescadores que operan habitualmente en esta zona: la Cofradía de Pescadores de Alcúdia, la Cofradía de Pescadores de Pollença y la Cofradía de Pescadores de Cala Rajada.</w:t>
      </w:r>
    </w:p>
    <w:p w14:paraId="0EA759EA" w14:textId="77777777" w:rsidR="00CA38EE" w:rsidRPr="00DD4A3B" w:rsidRDefault="00994EE6">
      <w:pPr>
        <w:pStyle w:val="Textoindependiente"/>
        <w:rPr>
          <w:rFonts w:ascii="Noto Sans" w:hAnsi="Noto Sans"/>
          <w:color w:val="auto"/>
          <w:lang w:val="es-ES"/>
        </w:rPr>
      </w:pPr>
      <w:r w:rsidRPr="00DD4A3B">
        <w:rPr>
          <w:rStyle w:val="Lletraperdefectedelpargraf"/>
          <w:rFonts w:ascii="Noto Sans" w:hAnsi="Noto Sans"/>
          <w:color w:val="auto"/>
          <w:lang w:val="es-ES"/>
        </w:rPr>
        <w:t>Estas cofradías representan la totalidad de la flota de artes menores que desarrolla actividad pesquera en estas bahías, y disponen de un conocimiento profundo y detallado de los caladeros tradicionales, de la dinámica de los recursos, así como de los valores culturales y socioeconómicos asociados a la pesca artesanal en este ámbito geográfico. Su implicación activa en el diseño, desarrollo y seguimiento del Plan resulta, por tanto, imprescindible para garantizar su efectividad y legitimidad.</w:t>
      </w:r>
    </w:p>
    <w:p w14:paraId="45311117"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Además, cabe destacar que la presencia de tres cofradías en este Plan de Gestión refuerza la necesidad de contar con un instrumento normativo específico que asegure la coordinación </w:t>
      </w:r>
      <w:r w:rsidRPr="00DD4A3B">
        <w:rPr>
          <w:rFonts w:ascii="Noto Sans" w:hAnsi="Noto Sans"/>
          <w:color w:val="auto"/>
          <w:lang w:val="es-ES"/>
        </w:rPr>
        <w:lastRenderedPageBreak/>
        <w:t>entre las distintas entidades, evite solapamientos de esfuerzo en los caladeros compartidos y permita una ordenación equitativa y coherente de la actividad pesquera.</w:t>
      </w:r>
    </w:p>
    <w:p w14:paraId="06698A35" w14:textId="77777777" w:rsidR="00CA38EE" w:rsidRPr="00DD4A3B" w:rsidRDefault="00994EE6">
      <w:pPr>
        <w:pStyle w:val="Textoindependiente"/>
        <w:rPr>
          <w:rFonts w:ascii="Noto Sans" w:hAnsi="Noto Sans"/>
          <w:b/>
          <w:bCs/>
          <w:color w:val="auto"/>
          <w:lang w:val="es-ES"/>
        </w:rPr>
      </w:pPr>
      <w:r w:rsidRPr="00DD4A3B">
        <w:rPr>
          <w:rFonts w:ascii="Noto Sans" w:hAnsi="Noto Sans"/>
          <w:color w:val="auto"/>
          <w:lang w:val="es-ES"/>
        </w:rPr>
        <w:t>La configuración de este plan como un mecanismo de cogestión territorializado y participativo, alineado con la normativa sectorial vigente y con los criterios de conservación derivados de las figuras de protección ambiental presentes en la zona, representa un avance en la construcción de un modelo de pesca más adaptativo, responsable y resiliente.</w:t>
      </w:r>
    </w:p>
    <w:p w14:paraId="19E7C77B" w14:textId="77777777" w:rsidR="00CA38EE" w:rsidRPr="00DD4A3B" w:rsidRDefault="00CA38EE">
      <w:pPr>
        <w:pStyle w:val="Textoindependiente"/>
        <w:rPr>
          <w:rFonts w:ascii="Noto Sans" w:hAnsi="Noto Sans"/>
          <w:b/>
          <w:bCs/>
          <w:color w:val="auto"/>
          <w:lang w:val="es-ES"/>
        </w:rPr>
      </w:pPr>
    </w:p>
    <w:p w14:paraId="6BDC844F"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IV</w:t>
      </w:r>
    </w:p>
    <w:p w14:paraId="05CCC79C"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En cuanto al ámbito competencial, el artículo 30.22 del Estatuto de Autonomía de las Illes Balears otorga a la Comunidad Autónoma la competencia exclusiva en materia de pesca y actividades recreativas en aguas interiores, la cual comprende la regulación, ordenación, planificación, conservación y explotación de los recursos pesqueros en dicho ámbito marino, así como la gestión directa de las actividades extractivas que se desarrollen en él.</w:t>
      </w:r>
    </w:p>
    <w:p w14:paraId="1C12575C"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En el ejercicio de estas competencias, se aprobó la Ley 6/2013, de 7 de noviembre, de pesca marítima, marisqueo y acuicultura en las Illes Balears, que constituye el marco jurídico básico de referencia en el ámbito autonómico. Esta norma establece los principios generales que deben regir la gestión de la pesca marítima y define los instrumentos administrativos que deben permitir una explotación racional, sostenible y participativa de los recursos pesqueros.</w:t>
      </w:r>
    </w:p>
    <w:p w14:paraId="06AE13EE"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En concreto, el artículo 6.2.a dispone que:</w:t>
      </w:r>
    </w:p>
    <w:p w14:paraId="5F3F4B14" w14:textId="77777777" w:rsidR="00CA38EE" w:rsidRPr="00DD4A3B" w:rsidRDefault="00994EE6">
      <w:pPr>
        <w:pStyle w:val="Textoindependiente"/>
        <w:rPr>
          <w:rFonts w:ascii="Noto Sans" w:hAnsi="Noto Sans"/>
          <w:i/>
          <w:iCs/>
          <w:color w:val="auto"/>
          <w:lang w:val="es-ES"/>
        </w:rPr>
      </w:pPr>
      <w:r w:rsidRPr="00DD4A3B">
        <w:rPr>
          <w:rFonts w:ascii="Noto Sans" w:hAnsi="Noto Sans"/>
          <w:i/>
          <w:iCs/>
          <w:color w:val="auto"/>
          <w:lang w:val="es-ES"/>
        </w:rPr>
        <w:t xml:space="preserve">“2. A efectos de planificación y ordenación pesquera, se pueden establecer, entre otros, los siguientes instrumentos específicos: </w:t>
      </w:r>
    </w:p>
    <w:p w14:paraId="1A303242" w14:textId="77777777" w:rsidR="00CA38EE" w:rsidRPr="00DD4A3B" w:rsidRDefault="00994EE6">
      <w:pPr>
        <w:pStyle w:val="Textoindependiente"/>
        <w:rPr>
          <w:rStyle w:val="Lletraperdefectedelpargraf"/>
          <w:rFonts w:ascii="Noto Sans" w:hAnsi="Noto Sans"/>
          <w:color w:val="auto"/>
          <w:lang w:val="es-ES"/>
        </w:rPr>
      </w:pPr>
      <w:r w:rsidRPr="00DD4A3B">
        <w:rPr>
          <w:rFonts w:ascii="Noto Sans" w:hAnsi="Noto Sans"/>
          <w:i/>
          <w:iCs/>
          <w:color w:val="auto"/>
          <w:lang w:val="es-ES"/>
        </w:rPr>
        <w:t>a) Planes de gestión de la pesca, que pueden prever limitaciones temporales, espaciales, técnicas o de cualquier otro tipo relativas al ejercicio de la actividad pesquera en una zona determinada, para una modalidad o sobre determinadas especies."</w:t>
      </w:r>
    </w:p>
    <w:p w14:paraId="4604C858"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Esta figura jurídica permite regular de manera específica la actividad pesquera en ámbitos geográficos concretos o sobre determinadas modalidades de pesca, con el objetivo de garantizar la sostenibilidad biológica de los recursos, la viabilidad económica del sector y la protección del medio ambiente marino.</w:t>
      </w:r>
    </w:p>
    <w:p w14:paraId="4086C4EA"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De acuerdo con estas previsiones, el presente Plan de Gestión para la pesca profesional en las aguas interiores de las bahías de Pollença y Alcúdia se configura como un instrumento específico de gestión, amparado por la normativa autonómica vigente, elaborado teniendo en cuenta la información científica disponible, la participación del sector y el régimen jurídico aplicable a los espacios protegidos integrados en su ámbito de aplicación.</w:t>
      </w:r>
    </w:p>
    <w:p w14:paraId="0D3D22E5" w14:textId="77777777" w:rsidR="00CA38EE" w:rsidRPr="00DD4A3B" w:rsidRDefault="00994EE6">
      <w:pPr>
        <w:pStyle w:val="Textoindependiente"/>
        <w:rPr>
          <w:rStyle w:val="Lletraperdefectedelpargraf"/>
          <w:rFonts w:ascii="Noto Sans" w:hAnsi="Noto Sans"/>
          <w:color w:val="auto"/>
          <w:lang w:val="es-ES"/>
        </w:rPr>
      </w:pPr>
      <w:r w:rsidRPr="00DD4A3B">
        <w:rPr>
          <w:rFonts w:ascii="Noto Sans" w:hAnsi="Noto Sans"/>
          <w:color w:val="auto"/>
          <w:lang w:val="es-ES"/>
        </w:rPr>
        <w:t>Este Decreto cumple con los principios de buena regulación exigidos por el artículo 49 de la Ley 1/2019, de 31 de enero, del Gobierno de las Illes Balears, y por el artículo 129 de la Ley 39/2015, de 1 de octubre, del procedimiento administrativo común de las administraciones públicas. En este sentido, se justifican suficientemente los siguientes principios:</w:t>
      </w:r>
    </w:p>
    <w:p w14:paraId="7D707584" w14:textId="77777777" w:rsidR="00CA38EE" w:rsidRPr="00DD4A3B" w:rsidRDefault="00994EE6">
      <w:pPr>
        <w:pStyle w:val="Textoindependiente"/>
        <w:numPr>
          <w:ilvl w:val="0"/>
          <w:numId w:val="8"/>
        </w:numPr>
        <w:spacing w:after="0"/>
        <w:rPr>
          <w:rFonts w:ascii="Noto Sans" w:hAnsi="Noto Sans"/>
          <w:color w:val="auto"/>
          <w:lang w:val="es-ES"/>
        </w:rPr>
      </w:pPr>
      <w:r w:rsidRPr="00DD4A3B">
        <w:rPr>
          <w:rFonts w:ascii="Noto Sans" w:hAnsi="Noto Sans"/>
          <w:color w:val="auto"/>
          <w:lang w:val="es-ES"/>
        </w:rPr>
        <w:lastRenderedPageBreak/>
        <w:t>Necesidad y eficacia, ya que esta norma constituye el instrumento jurídico más idóneo para alcanzar los objetivos que se persiguen, siendo el principal la conservación y el aprovechamiento sostenible de los recursos pesqueros en las aguas interiores de las bahías de Pollença y Alcúdia, mediante una ordenación adaptada a sus características biológicas y socioeconómicas.</w:t>
      </w:r>
    </w:p>
    <w:p w14:paraId="5E595059" w14:textId="77777777" w:rsidR="00CA38EE" w:rsidRPr="00DD4A3B" w:rsidRDefault="00994EE6">
      <w:pPr>
        <w:pStyle w:val="Textoindependiente"/>
        <w:numPr>
          <w:ilvl w:val="0"/>
          <w:numId w:val="8"/>
        </w:numPr>
        <w:rPr>
          <w:rFonts w:ascii="Noto Sans" w:hAnsi="Noto Sans"/>
          <w:color w:val="auto"/>
          <w:lang w:val="es-ES"/>
        </w:rPr>
      </w:pPr>
      <w:r w:rsidRPr="00DD4A3B">
        <w:rPr>
          <w:rFonts w:ascii="Noto Sans" w:hAnsi="Noto Sans"/>
          <w:color w:val="auto"/>
          <w:lang w:val="es-ES"/>
        </w:rPr>
        <w:t>Proporcionalidad, dado que el Plan de Gestión para la Pesca Profesional en las Aguas Interiores de las Bahías de Pollença y Alcúdia se configura como un desarrollo reglamentario del título II de la Ley 6/2013, de 7 de noviembre, de pesca marítima, marisqueo y acuicultura en las Illes Balears, relativo a la conservación y gestión de los recursos marinos vivos, y contiene únicamente la regulación imprescindible para dar respuesta a las necesidades detectadas, sin imponer obligaciones innecesarias.</w:t>
      </w:r>
    </w:p>
    <w:p w14:paraId="236C48DD" w14:textId="77777777" w:rsidR="00CA38EE" w:rsidRPr="00DD4A3B" w:rsidRDefault="00994EE6">
      <w:pPr>
        <w:pStyle w:val="Textoindependiente"/>
        <w:numPr>
          <w:ilvl w:val="0"/>
          <w:numId w:val="10"/>
        </w:numPr>
        <w:spacing w:after="0"/>
        <w:ind w:left="720" w:hanging="360"/>
        <w:rPr>
          <w:rFonts w:ascii="Noto Sans" w:hAnsi="Noto Sans"/>
          <w:color w:val="auto"/>
          <w:lang w:val="es-ES"/>
        </w:rPr>
      </w:pPr>
      <w:r w:rsidRPr="00DD4A3B">
        <w:rPr>
          <w:rFonts w:ascii="Noto Sans" w:hAnsi="Noto Sans"/>
          <w:color w:val="auto"/>
          <w:lang w:val="es-ES"/>
        </w:rPr>
        <w:t xml:space="preserve">Seguridad jurídica, porque se trata de una norma que se integra de manera estable y coherente dentro del marco normativo autonómico, con pleno respeto al ordenamiento jurídico de la Unión Europea, especialmente en lo relativo a la política pesquera común y a la conservación de la biodiversidad marina, y garantiza una adecuada articulación con el resto de normas sectoriales aplicables. </w:t>
      </w:r>
    </w:p>
    <w:p w14:paraId="0C341AA8" w14:textId="77777777" w:rsidR="00CA38EE" w:rsidRPr="00DD4A3B" w:rsidRDefault="00994EE6">
      <w:pPr>
        <w:pStyle w:val="Textoindependiente"/>
        <w:numPr>
          <w:ilvl w:val="0"/>
          <w:numId w:val="10"/>
        </w:numPr>
        <w:spacing w:after="0"/>
        <w:ind w:left="720" w:hanging="360"/>
        <w:rPr>
          <w:rFonts w:ascii="Noto Sans" w:hAnsi="Noto Sans"/>
          <w:color w:val="auto"/>
          <w:lang w:val="es-ES"/>
        </w:rPr>
      </w:pPr>
      <w:r w:rsidRPr="00DD4A3B">
        <w:rPr>
          <w:rFonts w:ascii="Noto Sans" w:hAnsi="Noto Sans"/>
          <w:color w:val="auto"/>
          <w:lang w:val="es-ES"/>
        </w:rPr>
        <w:t xml:space="preserve">Transparencia, ya que se ha garantizado la participación activa de los agentes implicados, incluidas las cofradías de pescadores, las entidades científicas y las organizaciones conservacionistas, tanto en la fase de diagnóstico como en el proceso de elaboración de la norma, así como mediante su consulta pública a través del Portal de Participación Ciudadana. </w:t>
      </w:r>
    </w:p>
    <w:p w14:paraId="45EF66BD" w14:textId="77777777" w:rsidR="00CA38EE" w:rsidRPr="00DD4A3B" w:rsidRDefault="00994EE6">
      <w:pPr>
        <w:pStyle w:val="Textoindependiente"/>
        <w:numPr>
          <w:ilvl w:val="0"/>
          <w:numId w:val="10"/>
        </w:numPr>
        <w:ind w:left="720" w:hanging="360"/>
        <w:rPr>
          <w:rFonts w:ascii="Noto Sans" w:hAnsi="Noto Sans"/>
          <w:color w:val="auto"/>
          <w:lang w:val="es-ES"/>
        </w:rPr>
      </w:pPr>
      <w:r w:rsidRPr="00DD4A3B">
        <w:rPr>
          <w:rFonts w:ascii="Noto Sans" w:hAnsi="Noto Sans"/>
          <w:color w:val="auto"/>
          <w:lang w:val="es-ES"/>
        </w:rPr>
        <w:t xml:space="preserve">Eficiencia, dado que la iniciativa normativa no conlleva cargas administrativas innecesarias y optimiza los recursos disponibles, estableciendo un modelo de cogestión flexible y adaptativo que fomenta la corresponsabilidad del sector y de la administración en la conservación de los recursos marinos. </w:t>
      </w:r>
    </w:p>
    <w:p w14:paraId="0C4533FC"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Finalmente, el Decreto 12/2023, de 10 de julio, de la presidenta de las Illes Balears, modificado por el Decreto 16/2023, de 20 de julio, por el Decreto 17/2023, de 23 de agosto, y por el Decreto 1/2024, de 4 de enero, establece las competencias y la estructura orgánica básica de las consellerias de la Administración de la Comunidad Autónoma de las Illes Balears, y en su artículo 2.10 b dispone que la Conselleria de Agricultura, Pesca y Medio Natural, a través de la Dirección General de Pesca, es el órgano que ejerce, entre otras, la competencia en materia de recursos marinos y de pesca marítima en aguas interiores de las Illes Balears. </w:t>
      </w:r>
    </w:p>
    <w:p w14:paraId="55E7FD6C"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Durante la tramitación de esta norma se ha consultado a las entidades representativas de los sectores afectados, a la Comisión de Seguimiento de la Reserva Marina del Llevant de Mallorca, y se ha cumplido el trámite de comunicación a la Comisión Europea, previsto en el artículo 7 del Reglamento (CE) n.º 1967/2006, del Consejo, de 21 de diciembre, relativo a las medidas de gestión para la explotación sostenible de los recursos pesqueros en el mar Mediterráneo, a través de la Secretaría General de Pesca del Ministerio de Agricultura, Pesca y Alimentación.</w:t>
      </w:r>
    </w:p>
    <w:p w14:paraId="3FF1FEE3"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lastRenderedPageBreak/>
        <w:t>Por todo ello, a propuesta del consejero de Agricultura, Pesca y Medio Natural, de acuerdo con el Consejo Consultivo de las Illes Balears y habiéndolo considerado el Consejo de Gobierno en la sesión de fecha ___ de _______ de 2025, dicto el siguiente:</w:t>
      </w:r>
    </w:p>
    <w:p w14:paraId="41CC1E76" w14:textId="77777777" w:rsidR="00CA38EE" w:rsidRPr="00DD4A3B" w:rsidRDefault="00CA38EE">
      <w:pPr>
        <w:pStyle w:val="Textoindependiente"/>
        <w:rPr>
          <w:rFonts w:ascii="Noto Sans" w:hAnsi="Noto Sans"/>
          <w:color w:val="auto"/>
          <w:lang w:val="es-ES"/>
        </w:rPr>
      </w:pPr>
    </w:p>
    <w:p w14:paraId="4EB96018"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DECRETO</w:t>
      </w:r>
    </w:p>
    <w:p w14:paraId="38A860A5" w14:textId="77777777" w:rsidR="00CA38EE" w:rsidRPr="00DD4A3B" w:rsidRDefault="00CA38EE">
      <w:pPr>
        <w:pStyle w:val="Textoindependiente"/>
        <w:rPr>
          <w:rFonts w:ascii="Noto Sans" w:hAnsi="Noto Sans"/>
          <w:b/>
          <w:bCs/>
          <w:color w:val="auto"/>
          <w:lang w:val="es-ES"/>
        </w:rPr>
      </w:pPr>
    </w:p>
    <w:p w14:paraId="2E90714F"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 xml:space="preserve">Artículo 1 </w:t>
      </w:r>
    </w:p>
    <w:p w14:paraId="7657B598"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Objeto y ámbito de aplicación</w:t>
      </w:r>
    </w:p>
    <w:p w14:paraId="1DDE7684"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El presente Decreto tiene por objeto la aprobación del Plan de gestión para la pesca profesional en las aguas interiores de las bahías de Pollença y Alcúdia, adaptado a las características específicas de su flota y a la estacionalidad propia de los mercados a los que se destinan las capturas.</w:t>
      </w:r>
    </w:p>
    <w:p w14:paraId="7A7567D0"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1. El ámbito de aplicación del Plan comprende las aguas interiores de las bahías de Pollença y Alcúdia, delimitadas por la línea de base recta establecida en el Real Decreto 2510/1977, de 5 de agosto, sobre el trazado de líneas de base rectas en desarrollo de la Ley 20/1967, de 8 de abril, relativa a la extensión de las aguas jurisdiccionales españolas a 12 millas, a efectos de pesca. Concretamente, la línea de base recta es la comprendida entre el Cabo de Formentor y el Cap del Freu, como se dispone en el Anexo 1 del presente Decreto.</w:t>
      </w:r>
    </w:p>
    <w:p w14:paraId="051C89CE" w14:textId="77777777" w:rsidR="00CA38EE" w:rsidRPr="00DD4A3B" w:rsidRDefault="00CA38EE">
      <w:pPr>
        <w:pStyle w:val="Textoindependiente"/>
        <w:rPr>
          <w:rFonts w:ascii="Noto Sans" w:hAnsi="Noto Sans"/>
          <w:color w:val="auto"/>
          <w:lang w:val="es-ES"/>
        </w:rPr>
      </w:pPr>
    </w:p>
    <w:p w14:paraId="32DF6566"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2</w:t>
      </w:r>
    </w:p>
    <w:p w14:paraId="3F41D16C"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 xml:space="preserve">Régimen general de uso y referencias normativas complementarias </w:t>
      </w:r>
    </w:p>
    <w:p w14:paraId="5B0BEE2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1. La pesca profesional que se desarrolle en el marco de este Plan deberá respetar, en todo caso, lo establecido en el Reglamento (CE) n.º 1967/2006 del Consejo, de 21 de diciembre de 2006, relativo a las medidas de gestión para la explotación sostenible de los recursos pesqueros en el mar Mediterráneo, especialmente en lo que respecta a las dimensiones mínimas de las mallas, las distancias de calado respecto a la costa y la protección de los hábitats marinos sensibles. </w:t>
      </w:r>
    </w:p>
    <w:p w14:paraId="73BB5648"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2. En todo aquello no regulado específicamente en este Decreto, se aplicará supletoriamente lo dispuesto en la normativa sectorial mencionada en los artículos 3.1 y 3.2, incluyendo las condiciones generales de utilización, calado y características técnicas de los artes y aparejos autorizados. </w:t>
      </w:r>
    </w:p>
    <w:p w14:paraId="74E9F06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3. Todas las embarcaciones de pesca profesional autorizadas dentro del ámbito de aplicación de este Plan deberán llevar instalado a bordo un dispositivo de localización electrónica (caja verde), de acuerdo con lo establecido en el Decreto 10/2019, de 15 de febrero, por el que se regula el Sistema de Localización y Seguimiento de Embarcaciones Pesqueras de las Illes Balears. </w:t>
      </w:r>
    </w:p>
    <w:p w14:paraId="4DB7AC8D" w14:textId="77777777" w:rsidR="00CA38EE" w:rsidRPr="00DD4A3B" w:rsidRDefault="00994EE6">
      <w:pPr>
        <w:pStyle w:val="Textoindependiente"/>
        <w:tabs>
          <w:tab w:val="left" w:pos="1486"/>
        </w:tabs>
        <w:rPr>
          <w:rFonts w:ascii="Noto Sans" w:hAnsi="Noto Sans"/>
          <w:color w:val="auto"/>
          <w:lang w:val="es-ES"/>
        </w:rPr>
      </w:pPr>
      <w:r w:rsidRPr="00DD4A3B">
        <w:rPr>
          <w:rFonts w:ascii="Noto Sans" w:hAnsi="Noto Sans"/>
          <w:color w:val="auto"/>
          <w:lang w:val="es-ES"/>
        </w:rPr>
        <w:lastRenderedPageBreak/>
        <w:t xml:space="preserve">4. Las cajas verdes deberán mantenerse en perfecto estado de funcionamiento, quedando prohibido manipularlas sin autorización o realizar cualquier acción que pueda dañarlas, alterarlas o interferir en su correcto funcionamiento. El patrón de la embarcación será responsable de garantizar que la caja verde esté plenamente operativa en todo momento y con capacidad para transmitir la información exigida en el apartado 1 del artículo 3 del Decreto 10/2019. </w:t>
      </w:r>
    </w:p>
    <w:p w14:paraId="1A638C0B"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5. Asimismo, en los espacios incluidos en la red Natura 2000 dentro del ámbito de aplicación de este Plan de gestión, se aplicarán las medidas específicas establecidas en el Decreto 91/2023, de 15 de diciembre, por el que se regula la pesca marítima y el marisqueo en dichos espacios.</w:t>
      </w:r>
    </w:p>
    <w:p w14:paraId="78004E45" w14:textId="77777777" w:rsidR="00CA38EE" w:rsidRPr="00DD4A3B" w:rsidRDefault="00994EE6">
      <w:pPr>
        <w:pStyle w:val="Textoindependiente"/>
        <w:tabs>
          <w:tab w:val="left" w:pos="1486"/>
        </w:tabs>
        <w:rPr>
          <w:rFonts w:ascii="Noto Sans" w:hAnsi="Noto Sans"/>
          <w:color w:val="auto"/>
          <w:lang w:val="es-ES"/>
        </w:rPr>
      </w:pPr>
      <w:r w:rsidRPr="00DD4A3B">
        <w:rPr>
          <w:rFonts w:ascii="Noto Sans" w:hAnsi="Noto Sans"/>
          <w:color w:val="auto"/>
          <w:lang w:val="es-ES"/>
        </w:rPr>
        <w:t>Dicho Decreto establece que los periodos de adaptación para la aplicación efectiva de las obligaciones establecidas se contarán a partir de la fecha de publicación del Decreto 91/2023, de 15 de diciembre. En concreto, se establece un plazo de dos años para la implementación de las medidas relativas a la pesca con palangre y de cinco años para la pesca de arrastre de fondo.</w:t>
      </w:r>
    </w:p>
    <w:p w14:paraId="3EC7A9D3"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6. Se aplicarán las disposiciones establecidas en los respectivos planes de gestión aprobados por el Decreto 31/2007, de 30 de marzo, y el Decreto 30/2007, de 30 de marzo —Lugares de Importancia Comunitaria (LIC) ES5310005 Bahías de Pollença y Alcúdia y ES0000227 Montañas de Artá—, siempre que no contradigan las disposiciones establecidas en el presente Decreto.</w:t>
      </w:r>
    </w:p>
    <w:p w14:paraId="0CCAC7C4"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7. Asimismo, también se aplicarán las disposiciones específicas relativas a la conservación, gestión y uso del medio marino establecidas en el Plan de Ordenación de los Recursos Naturales (PORN) de Llevant, aprobado por el Decreto 8/2023, de 20 de febrero, siempre que no contradigan las disposiciones establecidas en el presente Decreto. </w:t>
      </w:r>
    </w:p>
    <w:p w14:paraId="5A5E61F3"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8. En los ámbitos del presente Plan de gestión que coincidan territorialmente con la Reserva Marina del Llevant de Mallorca, deberá cumplirse la normativa específica establecida por el Decreto 71/2016, de 16 de diciembre, por el que se regulan las actividades de extracción de flora y fauna marinas y las actividades subacuáticas dentro de la reserva. Asimismo, será aplicable toda la normativa de desarrollo vigente o que se apruebe en el futuro para la regulación y gestión de dicha reserva marina, con especial atención a las disposiciones relativas a las zonas de reserva integral, las modalidades de pesca autorizadas, los períodos de veda y las condiciones del buceo recreativo o profesional. En caso de que esta normativa establezca requisitos más restrictivos que los previstos en el presente Decreto, estos prevalecerán. </w:t>
      </w:r>
    </w:p>
    <w:p w14:paraId="71E08682" w14:textId="77777777" w:rsidR="00CA38EE" w:rsidRPr="00DD4A3B" w:rsidRDefault="00CA38EE">
      <w:pPr>
        <w:pStyle w:val="Textoindependiente"/>
        <w:rPr>
          <w:rFonts w:ascii="Noto Sans" w:hAnsi="Noto Sans"/>
          <w:color w:val="auto"/>
          <w:lang w:val="es-ES"/>
        </w:rPr>
      </w:pPr>
    </w:p>
    <w:p w14:paraId="4D952442"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3</w:t>
      </w:r>
    </w:p>
    <w:p w14:paraId="6D9CDBB4"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 xml:space="preserve">Artes y aparejos autorizados y limitaciones de uso </w:t>
      </w:r>
    </w:p>
    <w:p w14:paraId="35A57F87"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1. Dentro del ámbito de este Plan de gestión, los artes y aparejos autorizados, así como su definición, clasificación y características técnicas para el ejercicio de la pesca profesional con artes menores, son los previstos en el Decreto 17/2003, de 21 de febrero, por el que se </w:t>
      </w:r>
      <w:r w:rsidRPr="00DD4A3B">
        <w:rPr>
          <w:rFonts w:ascii="Noto Sans" w:hAnsi="Noto Sans"/>
          <w:color w:val="auto"/>
          <w:lang w:val="es-ES"/>
        </w:rPr>
        <w:lastRenderedPageBreak/>
        <w:t xml:space="preserve">regulan los artes de pesca profesional con artes menores en las Illes Balears; el Decreto 19/2019, de 15 de marzo, por el que se establece el Plan de Gestión Pluriinsular para la Pesca con Artes de Tiro Tradicionales en Aguas de las Illes Balears; la Orden del consejero de Agricultura y Pesca, de 14 de marzo de 2002, por la que se regula la pesca de la lampuga en aguas interiores del archipiélago balear; el Decreto 31/2021, de 31 de mayo, por el que se aprueba el Plan de Gestión para el marisqueo en las aguas interiores de las Illes Balears; y la Orden 38/2024, de 21 de octubre, del consejero de Agricultura, Pesca y Medio Natural, por la que se establece un plan de gestión específico para la pesca de la langosta en las aguas interiores de las Illes Balears, así como la red langostera y la nasa langostera, con las condiciones específicas que se determinan en este Decreto. </w:t>
      </w:r>
    </w:p>
    <w:p w14:paraId="291A30B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Las características técnicas, dimensiones y condiciones de uso de la red langostera y de la nasa langostera deberán ajustarse en todo momento a lo dispuesto en el Anexo 2 del presente Decreto. </w:t>
      </w:r>
    </w:p>
    <w:p w14:paraId="6CCAB730"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2. Solo se permitirá la pesca de arrastre en la zona delimitada como els Mollets, de acuerdo con las condiciones establecidas por la normativa vigente, incluida la Ley 6/2013, de 7 de noviembre, de pesca marítima, marisqueo y acuicultura en las Illes Balears, así como lo dispuesto en este Plan de gestión y en otras normas específicas de aplicación (ver delimitación en el Anexo 1). </w:t>
      </w:r>
    </w:p>
    <w:p w14:paraId="37E291D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3. Queda prohibido, con carácter general, el ejercicio de la acuicultura marina y la pesca con artes de cerco dentro del ámbito de aplicación de este Plan de gestión. </w:t>
      </w:r>
    </w:p>
    <w:p w14:paraId="0A00CFA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4. Rotación espacial de los caladeros: Con el fin de favorecer la recuperación de los hábitats y evitar la sobreexplotación de zonas sensibles, la Dirección General podrá establecer, mediante resolución, vedas temporales o sistemas rotatorios de uso de los caladeros, previo informe de la Comisión de Seguimiento y sobre la base de criterios técnicos o científicos. </w:t>
      </w:r>
    </w:p>
    <w:p w14:paraId="5C29F8A7"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5. El uso de cualquier arte o aparejo no incluido expresamente en este artículo o en el Anexo 2 queda expresamente prohibido. Asimismo, se prohíbe cualquier modificación estructural de los artes autorizados que pueda alterar su selectividad, incrementar su alcance o aumentar su impacto ambiental. </w:t>
      </w:r>
    </w:p>
    <w:p w14:paraId="5134FC1A" w14:textId="77777777" w:rsidR="00CA38EE" w:rsidRPr="00DD4A3B" w:rsidRDefault="00CA38EE">
      <w:pPr>
        <w:pStyle w:val="Textoindependiente"/>
        <w:rPr>
          <w:rFonts w:ascii="Noto Sans" w:hAnsi="Noto Sans"/>
          <w:color w:val="auto"/>
          <w:lang w:val="es-ES"/>
        </w:rPr>
      </w:pPr>
    </w:p>
    <w:p w14:paraId="78B85EB0"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4</w:t>
      </w:r>
    </w:p>
    <w:p w14:paraId="54157FB2"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Artes de enmalle</w:t>
      </w:r>
    </w:p>
    <w:p w14:paraId="57D0AFF2"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1. Características técnica</w:t>
      </w:r>
    </w:p>
    <w:p w14:paraId="7BFAC069" w14:textId="77777777" w:rsidR="00CA38EE" w:rsidRPr="00DD4A3B" w:rsidRDefault="00994EE6">
      <w:pPr>
        <w:pStyle w:val="Textoindependiente"/>
        <w:numPr>
          <w:ilvl w:val="0"/>
          <w:numId w:val="7"/>
        </w:numPr>
        <w:rPr>
          <w:rFonts w:ascii="Noto Sans" w:hAnsi="Noto Sans"/>
          <w:color w:val="auto"/>
          <w:lang w:val="es-ES"/>
        </w:rPr>
      </w:pPr>
      <w:r w:rsidRPr="00DD4A3B">
        <w:rPr>
          <w:rFonts w:ascii="Noto Sans" w:hAnsi="Noto Sans"/>
          <w:color w:val="auto"/>
          <w:lang w:val="es-ES"/>
        </w:rPr>
        <w:t>Trasmallos</w:t>
      </w:r>
    </w:p>
    <w:p w14:paraId="5DB472C1" w14:textId="77777777" w:rsidR="00CA38EE" w:rsidRPr="00DD4A3B" w:rsidRDefault="00994EE6">
      <w:pPr>
        <w:pStyle w:val="Textoindependiente"/>
        <w:ind w:left="720"/>
        <w:rPr>
          <w:rFonts w:ascii="Noto Sans" w:hAnsi="Noto Sans"/>
          <w:color w:val="auto"/>
          <w:lang w:val="es-ES"/>
        </w:rPr>
      </w:pPr>
      <w:r w:rsidRPr="00DD4A3B">
        <w:rPr>
          <w:rFonts w:ascii="Noto Sans" w:hAnsi="Noto Sans"/>
          <w:color w:val="auto"/>
          <w:lang w:val="es-ES"/>
        </w:rPr>
        <w:t>Las dimensiones mínimas de las mallas exteriores serán de 200 milímetros (mm), mientras que la malla interior será de 67mm (6 pasadas). La altura máxima del trasmallo será de 3 metros, medidos desde la relinga inferior hasta la superior.</w:t>
      </w:r>
    </w:p>
    <w:p w14:paraId="6EA344A1" w14:textId="77777777" w:rsidR="00CA38EE" w:rsidRPr="00DD4A3B" w:rsidRDefault="00994EE6">
      <w:pPr>
        <w:pStyle w:val="Textoindependiente"/>
        <w:ind w:left="720"/>
        <w:rPr>
          <w:rFonts w:ascii="Noto Sans" w:hAnsi="Noto Sans"/>
          <w:color w:val="auto"/>
          <w:lang w:val="es-ES"/>
        </w:rPr>
      </w:pPr>
      <w:r w:rsidRPr="00DD4A3B">
        <w:rPr>
          <w:rFonts w:ascii="Noto Sans" w:hAnsi="Noto Sans"/>
          <w:color w:val="auto"/>
          <w:lang w:val="es-ES"/>
        </w:rPr>
        <w:t>Todo ello sin perjuicio de las excepciones establecidas en el Anexo 2.</w:t>
      </w:r>
    </w:p>
    <w:p w14:paraId="088CD19F" w14:textId="77777777" w:rsidR="00CA38EE" w:rsidRPr="00DD4A3B" w:rsidRDefault="00994EE6">
      <w:pPr>
        <w:pStyle w:val="Textoindependiente"/>
        <w:ind w:left="720"/>
        <w:rPr>
          <w:rFonts w:ascii="Noto Sans" w:hAnsi="Noto Sans"/>
          <w:color w:val="auto"/>
          <w:lang w:val="es-ES"/>
        </w:rPr>
      </w:pPr>
      <w:r w:rsidRPr="00DD4A3B">
        <w:rPr>
          <w:rFonts w:ascii="Noto Sans" w:hAnsi="Noto Sans"/>
          <w:color w:val="auto"/>
          <w:lang w:val="es-ES"/>
        </w:rPr>
        <w:lastRenderedPageBreak/>
        <w:t>Excepcionalmente, y para la captura de salmonetes (</w:t>
      </w:r>
      <w:r w:rsidRPr="00DD4A3B">
        <w:rPr>
          <w:rFonts w:ascii="Noto Sans" w:hAnsi="Noto Sans"/>
          <w:i/>
          <w:iCs/>
          <w:color w:val="auto"/>
          <w:lang w:val="es-ES"/>
        </w:rPr>
        <w:t xml:space="preserve">Mullus </w:t>
      </w:r>
      <w:r w:rsidRPr="00DD4A3B">
        <w:rPr>
          <w:rFonts w:ascii="Noto Sans" w:hAnsi="Noto Sans"/>
          <w:color w:val="auto"/>
          <w:lang w:val="es-ES"/>
        </w:rPr>
        <w:t>spp.), podrán emplearse, entre los meses de julio y diciembre, a una profundidad máxima de 50 metros, trasmallos con mallas iguales o superiores a 50mm (8 pasadas). La altura máxima de los trasmallos destinados a los salmonetes será de 2 metros, medidos desde la relinga inferior hasta la superior.</w:t>
      </w:r>
    </w:p>
    <w:p w14:paraId="1D52816D" w14:textId="77777777" w:rsidR="00CA38EE" w:rsidRPr="00DD4A3B" w:rsidRDefault="00994EE6">
      <w:pPr>
        <w:pStyle w:val="Textoindependiente"/>
        <w:numPr>
          <w:ilvl w:val="0"/>
          <w:numId w:val="7"/>
        </w:numPr>
        <w:rPr>
          <w:rFonts w:ascii="Noto Sans" w:hAnsi="Noto Sans"/>
          <w:color w:val="auto"/>
          <w:lang w:val="es-ES"/>
        </w:rPr>
      </w:pPr>
      <w:r w:rsidRPr="00DD4A3B">
        <w:rPr>
          <w:rFonts w:ascii="Noto Sans" w:hAnsi="Noto Sans"/>
          <w:color w:val="auto"/>
          <w:lang w:val="es-ES"/>
        </w:rPr>
        <w:t>Redes de una sola tela</w:t>
      </w:r>
    </w:p>
    <w:p w14:paraId="013C0313" w14:textId="77777777" w:rsidR="00CA38EE" w:rsidRPr="00DD4A3B" w:rsidRDefault="00994EE6">
      <w:pPr>
        <w:pStyle w:val="Textoindependiente"/>
        <w:ind w:left="720"/>
        <w:rPr>
          <w:rFonts w:ascii="Noto Sans" w:hAnsi="Noto Sans"/>
          <w:color w:val="auto"/>
          <w:lang w:val="es-ES"/>
        </w:rPr>
      </w:pPr>
      <w:r w:rsidRPr="00DD4A3B">
        <w:rPr>
          <w:rFonts w:ascii="Noto Sans" w:hAnsi="Noto Sans"/>
          <w:color w:val="auto"/>
          <w:lang w:val="es-ES"/>
        </w:rPr>
        <w:t>La dimensión mínima de las mallas no será inferior a 72mm (5,5 pasadas) y la altura máxima de la red será de 4 metros, medidos desde la relinga inferior hasta la superior.</w:t>
      </w:r>
    </w:p>
    <w:p w14:paraId="764EA686" w14:textId="77777777" w:rsidR="00CA38EE" w:rsidRPr="00DD4A3B" w:rsidRDefault="00994EE6">
      <w:pPr>
        <w:pStyle w:val="Textoindependiente"/>
        <w:ind w:left="720"/>
        <w:rPr>
          <w:rFonts w:ascii="Noto Sans" w:hAnsi="Noto Sans"/>
          <w:color w:val="auto"/>
          <w:lang w:val="es-ES"/>
        </w:rPr>
      </w:pPr>
      <w:r w:rsidRPr="00DD4A3B">
        <w:rPr>
          <w:rFonts w:ascii="Noto Sans" w:hAnsi="Noto Sans"/>
          <w:color w:val="auto"/>
          <w:lang w:val="es-ES"/>
        </w:rPr>
        <w:t>Excepcionalmente, y para la captura de salmonetes (</w:t>
      </w:r>
      <w:r w:rsidRPr="00DD4A3B">
        <w:rPr>
          <w:rFonts w:ascii="Noto Sans" w:hAnsi="Noto Sans"/>
          <w:i/>
          <w:iCs/>
          <w:color w:val="auto"/>
          <w:lang w:val="es-ES"/>
        </w:rPr>
        <w:t xml:space="preserve">Mullus </w:t>
      </w:r>
      <w:r w:rsidRPr="00DD4A3B">
        <w:rPr>
          <w:rFonts w:ascii="Noto Sans" w:hAnsi="Noto Sans"/>
          <w:color w:val="auto"/>
          <w:lang w:val="es-ES"/>
        </w:rPr>
        <w:t>spp.), podrán utilizarse, entre los meses de julio y diciembre y a una profundidad máxima de 50 metros, redes con mallas iguales o superiores a 50mm. La altura máxima de estas redes será de 2 metros, medida desde la relinga inferior hasta la superior.</w:t>
      </w:r>
    </w:p>
    <w:p w14:paraId="42574C7B" w14:textId="77777777" w:rsidR="00CA38EE" w:rsidRPr="00DD4A3B" w:rsidRDefault="00994EE6">
      <w:pPr>
        <w:pStyle w:val="Textoindependiente"/>
        <w:ind w:left="720"/>
        <w:rPr>
          <w:rFonts w:ascii="Noto Sans" w:hAnsi="Noto Sans"/>
          <w:color w:val="auto"/>
          <w:lang w:val="es-ES"/>
        </w:rPr>
      </w:pPr>
      <w:r w:rsidRPr="00DD4A3B">
        <w:rPr>
          <w:rFonts w:ascii="Noto Sans" w:hAnsi="Noto Sans"/>
          <w:color w:val="auto"/>
          <w:lang w:val="es-ES"/>
        </w:rPr>
        <w:t>Excepcionalmente, y para la captura de gerret (</w:t>
      </w:r>
      <w:r w:rsidRPr="00DD4A3B">
        <w:rPr>
          <w:rFonts w:ascii="Noto Sans" w:hAnsi="Noto Sans"/>
          <w:i/>
          <w:iCs/>
          <w:color w:val="auto"/>
          <w:lang w:val="es-ES"/>
        </w:rPr>
        <w:t>Spicara smaris</w:t>
      </w:r>
      <w:r w:rsidRPr="00DD4A3B">
        <w:rPr>
          <w:rFonts w:ascii="Noto Sans" w:hAnsi="Noto Sans"/>
          <w:color w:val="auto"/>
          <w:lang w:val="es-ES"/>
        </w:rPr>
        <w:t>), podrán utilizarse, entre los meses de noviembre y abril y a una profundidad máxima de 40 m, redes con mallas de hasta 36mm (11 pasadas). La altura máxima de estas redes será de 2 metros, medida desde la relinga inferior hasta la superior.</w:t>
      </w:r>
    </w:p>
    <w:p w14:paraId="2A1DDBFC" w14:textId="77777777" w:rsidR="00CA38EE" w:rsidRPr="00DD4A3B" w:rsidRDefault="00994EE6">
      <w:pPr>
        <w:pStyle w:val="Textoindependiente"/>
        <w:numPr>
          <w:ilvl w:val="0"/>
          <w:numId w:val="7"/>
        </w:numPr>
        <w:rPr>
          <w:rFonts w:ascii="Noto Sans" w:hAnsi="Noto Sans"/>
          <w:color w:val="auto"/>
          <w:lang w:val="es-ES"/>
        </w:rPr>
      </w:pPr>
      <w:r w:rsidRPr="00DD4A3B">
        <w:rPr>
          <w:rFonts w:ascii="Noto Sans" w:hAnsi="Noto Sans"/>
          <w:color w:val="auto"/>
          <w:lang w:val="es-ES"/>
        </w:rPr>
        <w:t>Boleros</w:t>
      </w:r>
    </w:p>
    <w:p w14:paraId="568D0918" w14:textId="77777777" w:rsidR="00CA38EE" w:rsidRPr="00DD4A3B" w:rsidRDefault="00994EE6">
      <w:pPr>
        <w:pStyle w:val="Textoindependiente"/>
        <w:ind w:left="1440"/>
        <w:rPr>
          <w:rFonts w:ascii="Noto Sans" w:hAnsi="Noto Sans"/>
          <w:color w:val="auto"/>
          <w:lang w:val="es-ES"/>
        </w:rPr>
      </w:pPr>
      <w:r w:rsidRPr="00DD4A3B">
        <w:rPr>
          <w:rFonts w:ascii="Noto Sans" w:hAnsi="Noto Sans"/>
          <w:color w:val="auto"/>
          <w:lang w:val="es-ES"/>
        </w:rPr>
        <w:t>Las dimensiones mínimas de las mallas exteriores serán de 200 mm, mientras que la malla interior será de 80 mm. La altura máxima del arte será de 4 metros, medida desde la relinga inferior hasta la superior.</w:t>
      </w:r>
    </w:p>
    <w:p w14:paraId="7BA2C08C" w14:textId="77777777" w:rsidR="00CA38EE" w:rsidRPr="00DD4A3B" w:rsidRDefault="00CA38EE">
      <w:pPr>
        <w:pStyle w:val="Textoindependiente"/>
        <w:ind w:left="1440"/>
        <w:rPr>
          <w:rFonts w:ascii="Noto Sans" w:hAnsi="Noto Sans"/>
          <w:color w:val="auto"/>
          <w:lang w:val="es-ES"/>
        </w:rPr>
      </w:pPr>
    </w:p>
    <w:p w14:paraId="2DC1AB1A"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2. Condiciones generales de calado</w:t>
      </w:r>
    </w:p>
    <w:p w14:paraId="79CDE22D"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La captura de la langosta solo podrá practicarse entre los días 1 de abril y 31 de agosto de cada año, ambos inclusive, sin limitaciones de fondo.</w:t>
      </w:r>
    </w:p>
    <w:p w14:paraId="6A6AE177" w14:textId="77777777" w:rsidR="00CA38EE" w:rsidRPr="00DD4A3B" w:rsidRDefault="00994EE6">
      <w:pPr>
        <w:pStyle w:val="Textoindependiente"/>
        <w:rPr>
          <w:rFonts w:ascii="Noto Sans" w:hAnsi="Noto Sans"/>
          <w:b/>
          <w:bCs/>
          <w:color w:val="auto"/>
          <w:lang w:val="es-ES"/>
        </w:rPr>
      </w:pPr>
      <w:r w:rsidRPr="00DD4A3B">
        <w:rPr>
          <w:rFonts w:ascii="Noto Sans" w:hAnsi="Noto Sans"/>
          <w:color w:val="auto"/>
          <w:lang w:val="es-ES"/>
        </w:rPr>
        <w:t>Los artes de enmalle aquí descritos solo podrán calarse a profundidades inferiores a 60 metros, con excepción de los trasmallos destinados a la captura de la langosta y del límite de 50 metros para los salmonetes. La longitud máxima de redes será de 2.000 metros por tripulante enrolado y presente a bordo, hasta un máximo de 4.000 metros por embarcación.</w:t>
      </w:r>
    </w:p>
    <w:p w14:paraId="21587BA8" w14:textId="77777777" w:rsidR="00CA38EE" w:rsidRPr="00DD4A3B" w:rsidRDefault="00CA38EE">
      <w:pPr>
        <w:pStyle w:val="Textoindependiente"/>
        <w:rPr>
          <w:rFonts w:ascii="Noto Sans" w:hAnsi="Noto Sans"/>
          <w:b/>
          <w:bCs/>
          <w:color w:val="auto"/>
          <w:lang w:val="es-ES"/>
        </w:rPr>
      </w:pPr>
    </w:p>
    <w:p w14:paraId="5A8CA54F"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5</w:t>
      </w:r>
    </w:p>
    <w:p w14:paraId="60AEBA43" w14:textId="77777777" w:rsidR="00CA38EE" w:rsidRPr="00DD4A3B" w:rsidRDefault="00994EE6">
      <w:pPr>
        <w:pStyle w:val="Textoindependiente"/>
        <w:rPr>
          <w:rFonts w:ascii="Noto Sans" w:hAnsi="Noto Sans"/>
          <w:color w:val="auto"/>
          <w:lang w:val="es-ES"/>
        </w:rPr>
      </w:pPr>
      <w:r w:rsidRPr="00DD4A3B">
        <w:rPr>
          <w:rFonts w:ascii="Noto Sans" w:hAnsi="Noto Sans"/>
          <w:b/>
          <w:bCs/>
          <w:color w:val="auto"/>
          <w:lang w:val="es-ES"/>
        </w:rPr>
        <w:t>Procedimiento de sorteo y adjudicación de los puntos de calado de los artes de parada</w:t>
      </w:r>
    </w:p>
    <w:p w14:paraId="2A2C922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1. Los puntos a utilizar para calar los artes de parada serán sorteados dentro del ámbito territorial de cada cofradía.</w:t>
      </w:r>
    </w:p>
    <w:p w14:paraId="0AEEC426"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Para poder participar en los sorteos, será necesario pertenecer a la cofradía correspondiente y disponer del aparejo para el cual se solicita un punto de calado.</w:t>
      </w:r>
    </w:p>
    <w:p w14:paraId="04E79636"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lastRenderedPageBreak/>
        <w:t>El sorteo será único para todo el año y se celebrará coincidiendo con la festividad de San Juan (24 de junio), en un plazo máximo de diez días antes o después de dicha fecha.</w:t>
      </w:r>
    </w:p>
    <w:p w14:paraId="437A5621"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Una vez finalizado el sorteo, se levantará un acta, de la cual se enviará una copia a la Dirección General de Pesca en los diez días siguientes.</w:t>
      </w:r>
    </w:p>
    <w:p w14:paraId="474718E3"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2. El período de calado será del 1 de octubre al 15 de septiembre del año siguiente. Si, transcurridos diez días desde el inicio del período de calado, existen puntos que, sin causa justificada, no hayan sido ocupados, la Dirección General de Pesca podrá adjudicarlos a otros interesados que los hayan solicitado, siguiendo los criterios de habitualidad y rentabilidad establecidos en el artículo 27.3 de la Ley 3/2001, de 26 de marzo, de pesca marítima del Estado.</w:t>
      </w:r>
    </w:p>
    <w:p w14:paraId="0D92A1B2"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3. En el Anexo 3 se detalla el listado de puntos tradicionales de calado de artes de parada, ordenados por cofradías.</w:t>
      </w:r>
    </w:p>
    <w:p w14:paraId="4D51EC5A" w14:textId="77777777" w:rsidR="00CA38EE" w:rsidRPr="00DD4A3B" w:rsidRDefault="00CA38EE">
      <w:pPr>
        <w:pStyle w:val="Textoindependiente"/>
        <w:rPr>
          <w:rFonts w:ascii="Noto Sans" w:hAnsi="Noto Sans"/>
          <w:color w:val="auto"/>
          <w:lang w:val="es-ES"/>
        </w:rPr>
      </w:pPr>
    </w:p>
    <w:p w14:paraId="5AE5057F"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6</w:t>
      </w:r>
    </w:p>
    <w:p w14:paraId="1F10B9F2"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Artes de tiro (gerretera)</w:t>
      </w:r>
    </w:p>
    <w:p w14:paraId="5FBA4677"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En el Anexo 4 se detalla el listado de puntos tradicionales de calado de artes de tiro, en la modalidad de gerretera, dentro del ámbito del Plan de Gestión para la pesca profesional en las aguas interiores de las bahías de Pollença y Alcúdia. </w:t>
      </w:r>
    </w:p>
    <w:p w14:paraId="082E1D00" w14:textId="77777777" w:rsidR="00CA38EE" w:rsidRPr="00DD4A3B" w:rsidRDefault="00CA38EE">
      <w:pPr>
        <w:pStyle w:val="Textoindependiente"/>
        <w:rPr>
          <w:rFonts w:ascii="Noto Sans" w:hAnsi="Noto Sans"/>
          <w:b/>
          <w:bCs/>
          <w:color w:val="auto"/>
          <w:lang w:val="es-ES"/>
        </w:rPr>
      </w:pPr>
    </w:p>
    <w:p w14:paraId="6C1B2D56"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7</w:t>
      </w:r>
    </w:p>
    <w:p w14:paraId="69A7401D"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Arte del palangrillo</w:t>
      </w:r>
    </w:p>
    <w:p w14:paraId="50538CC0"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Durante los meses de febrero a julio, las embarcaciones que practiquen la pesca con palangre deberán implementar medidas de mitigación para reducir la captura accidental de aves marinas, tales como el calado nocturno, el cambio de cebo, el aumento de peso en las líneas o el uso de sistemas espantapájaros, según lo establecido en el Decreto 91/2023, de 15 de diciembre, por el que se regula la pesca marítima y el marisqueo en las zonas que integran la red ecológica europea Natura 2000. </w:t>
      </w:r>
    </w:p>
    <w:p w14:paraId="304B7107" w14:textId="77777777" w:rsidR="00CA38EE" w:rsidRPr="00DD4A3B" w:rsidRDefault="00CA38EE">
      <w:pPr>
        <w:pStyle w:val="Textoindependiente"/>
        <w:rPr>
          <w:rFonts w:ascii="Noto Sans" w:hAnsi="Noto Sans"/>
          <w:color w:val="auto"/>
          <w:lang w:val="es-ES"/>
        </w:rPr>
      </w:pPr>
    </w:p>
    <w:p w14:paraId="593BD3C3"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8</w:t>
      </w:r>
    </w:p>
    <w:p w14:paraId="6737BED9"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 xml:space="preserve">Pesca de arrastre </w:t>
      </w:r>
    </w:p>
    <w:p w14:paraId="60A170F5"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1. De acuerdo con lo establecido en el artículo 3 del Decreto 91/2023, de 15 de diciembre, las embarcaciones que ejerzan la pesca de arrastre deberán estar equipadas con puertas pelágicas que eviten el contacto directo con el sustrato marino.</w:t>
      </w:r>
    </w:p>
    <w:p w14:paraId="2C7756F3"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2. Únicamente podrán ejercer la pesca de arrastre dentro del ámbito del presente Plan de Gestión las embarcaciones adscritas a las cofradías de pescadores de Pollença, Alcúdia y Cala Rajada.</w:t>
      </w:r>
    </w:p>
    <w:p w14:paraId="794F69FC"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lastRenderedPageBreak/>
        <w:t>3. Esta actividad se limitará exclusivamente a la zona conocida como Els Mollets, de acuerdo con la delimitación cartográfica establecida en el Anexo 1.</w:t>
      </w:r>
    </w:p>
    <w:p w14:paraId="76A1F436" w14:textId="77777777" w:rsidR="00CA38EE" w:rsidRPr="00DD4A3B" w:rsidRDefault="00CA38EE">
      <w:pPr>
        <w:pStyle w:val="Textoindependiente"/>
        <w:rPr>
          <w:rFonts w:ascii="Noto Sans" w:hAnsi="Noto Sans"/>
          <w:color w:val="auto"/>
          <w:lang w:val="es-ES"/>
        </w:rPr>
      </w:pPr>
    </w:p>
    <w:p w14:paraId="3E22ABA3"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9</w:t>
      </w:r>
    </w:p>
    <w:p w14:paraId="531F54F8"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Censo de embarcaciones autorizadas</w:t>
      </w:r>
    </w:p>
    <w:p w14:paraId="740B963E"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1. Se crea el censo de embarcaciones que pueden pescar dentro del ámbito de este Plan de Gestión para la pesca profesional en las aguas interiores de las bahías de Pollença y de Alcúdia, en el que se incluirán las embarcaciones inscritas en el Censo Oficial de la Flota Pesquera Operativa y en el Censo de Embarcaciones con puerto base en Pollença,  Alcúdia o Cala Rajada. Las embarcaciones de la modalidad de artes menores deberán cumplir los siguientes requisitos:</w:t>
      </w:r>
    </w:p>
    <w:p w14:paraId="7B8FB4CB" w14:textId="77777777" w:rsidR="00CA38EE" w:rsidRPr="00DD4A3B" w:rsidRDefault="00994EE6">
      <w:pPr>
        <w:pStyle w:val="Textoindependiente"/>
        <w:ind w:firstLine="708"/>
        <w:rPr>
          <w:rFonts w:ascii="Noto Sans" w:hAnsi="Noto Sans"/>
          <w:color w:val="auto"/>
          <w:lang w:val="es-ES"/>
        </w:rPr>
      </w:pPr>
      <w:r w:rsidRPr="00DD4A3B">
        <w:rPr>
          <w:rFonts w:ascii="Noto Sans" w:hAnsi="Noto Sans"/>
          <w:color w:val="auto"/>
          <w:lang w:val="es-ES"/>
        </w:rPr>
        <w:t>a) No superar los 12 m de eslora.</w:t>
      </w:r>
    </w:p>
    <w:p w14:paraId="5317BBB8" w14:textId="77777777" w:rsidR="00CA38EE" w:rsidRPr="00DD4A3B" w:rsidRDefault="00994EE6">
      <w:pPr>
        <w:pStyle w:val="Textoindependiente"/>
        <w:ind w:firstLine="708"/>
        <w:rPr>
          <w:rFonts w:ascii="Noto Sans" w:hAnsi="Noto Sans"/>
          <w:color w:val="auto"/>
          <w:lang w:val="es-ES"/>
        </w:rPr>
      </w:pPr>
      <w:r w:rsidRPr="00DD4A3B">
        <w:rPr>
          <w:rFonts w:ascii="Noto Sans" w:hAnsi="Noto Sans"/>
          <w:color w:val="auto"/>
          <w:lang w:val="es-ES"/>
        </w:rPr>
        <w:t>b) Tener un arqueo inferior o igual a 10 GT.</w:t>
      </w:r>
    </w:p>
    <w:p w14:paraId="508951F1" w14:textId="77777777" w:rsidR="00CA38EE" w:rsidRPr="00DD4A3B" w:rsidRDefault="00994EE6">
      <w:pPr>
        <w:pStyle w:val="Textoindependiente"/>
        <w:ind w:firstLine="708"/>
        <w:rPr>
          <w:rFonts w:ascii="Noto Sans" w:hAnsi="Noto Sans"/>
          <w:color w:val="auto"/>
          <w:lang w:val="es-ES"/>
        </w:rPr>
      </w:pPr>
      <w:r w:rsidRPr="00DD4A3B">
        <w:rPr>
          <w:rFonts w:ascii="Noto Sans" w:hAnsi="Noto Sans"/>
          <w:color w:val="auto"/>
          <w:lang w:val="es-ES"/>
        </w:rPr>
        <w:t xml:space="preserve">c) Tener una potencia inferior o igual a 120,0 kW. </w:t>
      </w:r>
    </w:p>
    <w:p w14:paraId="3F196B0F"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2. El número de embarcaciones autorizadas no excederá el número máximo de 80 embarcaciones. </w:t>
      </w:r>
    </w:p>
    <w:p w14:paraId="4D2CF67D"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 xml:space="preserve">3. En caso de embarcaciones con cambio de base temporal, hacia alguno de los puertos del ámbito del presente Plan de Gestión, se entenderá que, a los efectos de aplicación del presente Plan de Gestión, estas embarcaciones están autorizadas a ejercer la actividad pesquera en el ámbito del Plan de Gestión, adoptando las medidas de gestión establecidas, mientras dure la autorización de cambio de base temporal. </w:t>
      </w:r>
    </w:p>
    <w:p w14:paraId="50F903A8"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4. En el anexo 5 se detalla el listado de embarcaciones inscritas en el censo de embarcaciones que pueden pescar dentro del ámbito de este Plan de Gestión para la pesca profesional en las aguas interiores de las bahías de Pollença y de Alcúdia, que será actualizado anualmente por resolución del director general de Pesca. En caso de que no se produzca ninguna modificación en el censo, éste se considerará prorrogado automáticamente por un año más.</w:t>
      </w:r>
    </w:p>
    <w:p w14:paraId="7C0E3399" w14:textId="77777777" w:rsidR="00CA38EE" w:rsidRPr="00DD4A3B" w:rsidRDefault="00CA38EE">
      <w:pPr>
        <w:pStyle w:val="Textoindependiente"/>
        <w:rPr>
          <w:rFonts w:ascii="Noto Sans" w:hAnsi="Noto Sans"/>
          <w:color w:val="auto"/>
          <w:lang w:val="es-ES"/>
        </w:rPr>
      </w:pPr>
    </w:p>
    <w:p w14:paraId="47DE602E"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Artículo 10</w:t>
      </w:r>
    </w:p>
    <w:p w14:paraId="391C9842" w14:textId="77777777" w:rsidR="00CA38EE" w:rsidRPr="00DD4A3B" w:rsidRDefault="00994EE6">
      <w:pPr>
        <w:pStyle w:val="Textoindependiente"/>
        <w:rPr>
          <w:rFonts w:ascii="Noto Sans" w:hAnsi="Noto Sans"/>
          <w:b/>
          <w:bCs/>
          <w:color w:val="auto"/>
          <w:lang w:val="es-ES"/>
        </w:rPr>
      </w:pPr>
      <w:r w:rsidRPr="00DD4A3B">
        <w:rPr>
          <w:rFonts w:ascii="Noto Sans" w:hAnsi="Noto Sans"/>
          <w:b/>
          <w:bCs/>
          <w:color w:val="auto"/>
          <w:lang w:val="es-ES"/>
        </w:rPr>
        <w:t>Esfuerzo pesquero</w:t>
      </w:r>
    </w:p>
    <w:p w14:paraId="1909E3C3" w14:textId="77777777" w:rsidR="00CA38EE" w:rsidRPr="00DD4A3B" w:rsidRDefault="00994EE6">
      <w:pPr>
        <w:pStyle w:val="Textoindependiente"/>
        <w:rPr>
          <w:rFonts w:ascii="Noto Sans" w:hAnsi="Noto Sans"/>
          <w:color w:val="auto"/>
          <w:lang w:val="es-ES"/>
        </w:rPr>
      </w:pPr>
      <w:r w:rsidRPr="00DD4A3B">
        <w:rPr>
          <w:rFonts w:ascii="Noto Sans" w:hAnsi="Noto Sans"/>
          <w:color w:val="auto"/>
          <w:lang w:val="es-ES"/>
        </w:rPr>
        <w:t>1. El periodo general autorizado para ejercer la pesca de artes menores y el marisqueo desde embarcación será de 16 horas por día en el mar, y los artes y aparejos no podrán permanecer calados más del periodo establecido, salvo los artes de parada y los trasmallos y nasas destinadas a la captura de langosta y las nasas para el pulpo.</w:t>
      </w:r>
    </w:p>
    <w:p w14:paraId="2B7363C4" w14:textId="77777777" w:rsidR="00CA38EE" w:rsidRPr="00DD4A3B" w:rsidRDefault="00994EE6">
      <w:pPr>
        <w:pStyle w:val="Textoindependiente"/>
        <w:rPr>
          <w:rFonts w:ascii="Noto Sans" w:eastAsia="Noto Sans" w:hAnsi="Noto Sans" w:cs="Noto Sans"/>
          <w:color w:val="auto"/>
          <w:lang w:val="es-ES"/>
        </w:rPr>
      </w:pPr>
      <w:r w:rsidRPr="00DD4A3B">
        <w:rPr>
          <w:rFonts w:ascii="Noto Sans" w:hAnsi="Noto Sans"/>
          <w:color w:val="auto"/>
          <w:lang w:val="es-ES"/>
        </w:rPr>
        <w:t>2. Los trasmallos y nasas destinados a la captura de langosta tendrán un periodo máximo de permanencia en el mar de 24 horas continuadas, por lo que deberán ser retirados del punto de calado antes de que transcurra este tiempo.</w:t>
      </w:r>
    </w:p>
    <w:p w14:paraId="04C72B53"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lastRenderedPageBreak/>
        <w:t>3. Las nasas para el pulpo tendrán un periodo máximo de permanencia en el mar de 48 horas continuadas, por lo que deberán ser retiradas del punto de calado antes de que transcurra este tiempo.</w:t>
      </w:r>
    </w:p>
    <w:p w14:paraId="67D5CFD0"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4. Los artes de enmalle destinados a la captura de salmonetes (</w:t>
      </w:r>
      <w:r>
        <w:rPr>
          <w:rFonts w:ascii="Noto Sans" w:eastAsia="Noto Sans" w:hAnsi="Noto Sans" w:cs="Noto Sans"/>
          <w:i/>
          <w:iCs/>
          <w:lang w:val="es-ES"/>
        </w:rPr>
        <w:t xml:space="preserve">Mullus </w:t>
      </w:r>
      <w:r>
        <w:rPr>
          <w:rFonts w:ascii="Noto Sans" w:eastAsia="Noto Sans" w:hAnsi="Noto Sans" w:cs="Noto Sans"/>
          <w:lang w:val="es-ES"/>
        </w:rPr>
        <w:t>spp.) y del caramel (</w:t>
      </w:r>
      <w:r>
        <w:rPr>
          <w:rFonts w:ascii="Noto Sans" w:eastAsia="Noto Sans" w:hAnsi="Noto Sans" w:cs="Noto Sans"/>
          <w:i/>
          <w:iCs/>
          <w:lang w:val="es-ES"/>
        </w:rPr>
        <w:t>Spicara smaris</w:t>
      </w:r>
      <w:r>
        <w:rPr>
          <w:rFonts w:ascii="Noto Sans" w:eastAsia="Noto Sans" w:hAnsi="Noto Sans" w:cs="Noto Sans"/>
          <w:lang w:val="es-ES"/>
        </w:rPr>
        <w:t>) tendrán un periodo máximo de permanencia en el mar de 3 horas continuadas y sólo podrán calarse al amanecer y al anochecer, en el momento de la salida y puesta del sol, respectivamente.</w:t>
      </w:r>
    </w:p>
    <w:p w14:paraId="10925567"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5. La veda para el pulpo establecida en el artículo 15 del Decreto 31/2021, de 31 de mayo, tendrá una duración de 105 días en las aguas afectadas por este Plan de Gestión.</w:t>
      </w:r>
    </w:p>
    <w:p w14:paraId="58E3070A"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6. Para la pesca de arrastre, se establece una veda temporal desde el 1 de abril hasta el 31 de agosto.</w:t>
      </w:r>
    </w:p>
    <w:p w14:paraId="1891F46F"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7. El esfuerzo pesquero del arrastre deberá limitarse a un máximo de tres días de pesca por semana y por embarcación, con el objetivo de garantizar la sostenibilidad de los recursos y minimizar el impacto sobre el ecosistema marino.</w:t>
      </w:r>
    </w:p>
    <w:p w14:paraId="325B0C15" w14:textId="77777777" w:rsidR="00CA38EE" w:rsidRDefault="00CA38EE">
      <w:pPr>
        <w:pStyle w:val="Textoindependiente"/>
        <w:rPr>
          <w:rFonts w:ascii="Noto Sans" w:eastAsia="Noto Sans" w:hAnsi="Noto Sans" w:cs="Noto Sans"/>
          <w:lang w:val="es-ES"/>
        </w:rPr>
      </w:pPr>
    </w:p>
    <w:p w14:paraId="69EB5F96"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Artículo 11</w:t>
      </w:r>
    </w:p>
    <w:p w14:paraId="05BEF528"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 xml:space="preserve">Descanso semanal </w:t>
      </w:r>
    </w:p>
    <w:p w14:paraId="09CFB615"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1. Entre el 1 de febrero y el 31 de agosto, para la modalidad de artes menores y marisqueo, no habrá descanso semanal obligatorio durante el cual los artes y aparejos deban permanecer en tierra. Durante este periodo, las embarcaciones solo podrán ejercer la actividad pesquera un máximo de seis días por semana. Esta limitación podrá aplicarse con criterios de flexibilidad mensual, siempre que en ningún caso se supere el límite de días totales establecido en el punto 3 del presente artículo.</w:t>
      </w:r>
    </w:p>
    <w:p w14:paraId="0089001A"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2. Entre el 1 de septiembre y el 31 de enero, y con excepción de los artes de parada, se establece para la modalidad de artes menores y marisqueo un descanso semanal obligatorio de un mínimo de 41 horas consecutivas, durante el cual todos los artes y aparejos deberán permanecer en tierra o, en el caso de embarcaciones que permanezcan en puerto en su punto de amarre habitual, estibados a bordo. Durante este periodo, las embarcaciones solo podrán ejercer la actividad pesquera un máximo de cuatro días por semana. Esta limitación podrá aplicarse con criterios de flexibilidad mensual, siempre que en ningún caso se supere el límite de días totales establecido en el punto 3 del presente artículo. El horario de descanso se establecerá mediante resolución del consejero de Agricultura, Pesca y Medio Natural.</w:t>
      </w:r>
    </w:p>
    <w:p w14:paraId="22D588F7"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3. El número máximo total de días que las embarcaciones de artes menores y marisqueo con puerto base en las cofradías afectadas por este Plan de Gestión podrán salir a faenar a lo largo del año no podrá superar los 180 días en total. Este esfuerzo se c</w:t>
      </w:r>
      <w:r>
        <w:rPr>
          <w:rFonts w:ascii="Noto Sans" w:eastAsia="Noto Sans" w:hAnsi="Noto Sans" w:cs="Noto Sans"/>
          <w:color w:val="auto"/>
          <w:lang w:val="es-ES"/>
        </w:rPr>
        <w:t>ontrolará mediante el SLSEPIB y su aplicación, así como con las notas de venta de las capturas.</w:t>
      </w:r>
    </w:p>
    <w:p w14:paraId="74F422F3"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lastRenderedPageBreak/>
        <w:t>4. Se establece un límite máximo global o “pool” de esfuerzo de 7.000 días de actividad pesquera anuales para el conjunto de la flota de artes menores y marisqueo incluida en el ámbito de aplicación de este Plan de Gestión. Este límite se aplicará de forma complementaria al control individual por embarcación y podrá ser revisado anualmente en función de los resultados del seguimiento y de la evolución del estado de los recursos.</w:t>
      </w:r>
    </w:p>
    <w:p w14:paraId="54EDCAF6" w14:textId="77777777" w:rsidR="00CA38EE" w:rsidRDefault="00CA38EE">
      <w:pPr>
        <w:pStyle w:val="Textoindependiente"/>
        <w:rPr>
          <w:rFonts w:ascii="Noto Sans" w:eastAsia="Noto Sans" w:hAnsi="Noto Sans" w:cs="Noto Sans"/>
          <w:lang w:val="es-ES"/>
        </w:rPr>
      </w:pPr>
    </w:p>
    <w:p w14:paraId="41901935"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Artículo 12</w:t>
      </w:r>
    </w:p>
    <w:p w14:paraId="5023D7ED"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Alternancia de artes y aparejos</w:t>
      </w:r>
    </w:p>
    <w:p w14:paraId="0A1F787E"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Compatibilidad con otros aparejos y equivalencias:</w:t>
      </w:r>
    </w:p>
    <w:p w14:paraId="745E21A2"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Las embarcaciones dedicadas al ejercicio de la pesca con los artes menores definidos en el artículo 4 de este Decreto y en los artículos 5, 6 y 7 del Decreto 17/2003, de 21 de febrero, podrán ejercerla alternativamente con cualquiera de ellos. No obstante, durante una misma jornada de pesca, las embarcaciones solo podrán ejercer la actividad pesquera con un único tipo de arte o aparejo, que no podrá llevarse a bordo simultáneamente con otros, con las excepciones del volantín, la potera y el curricán.</w:t>
      </w:r>
    </w:p>
    <w:p w14:paraId="5A3D35F7"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Las embarcaciones que tengan calados artes de enmalle podrán, además, compatibilizarlos con el calado de nasas, restando metros de red en función de las nasas caladas, en la proporción de 500 metros de red por cada 50 nasas caladas.</w:t>
      </w:r>
    </w:p>
    <w:p w14:paraId="794C3725"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Las embarcaciones que tengan calados artes de parada podrán compatibilizarlos con otro aparejo en las siguientes condiciones:</w:t>
      </w:r>
    </w:p>
    <w:p w14:paraId="7BEC6E4A"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 Soltes, tonaira y almadraba: cada uno restará 350 metros de la longitud máxima del arte de red que se pretenda calar o 200 anzuelos de palangre.</w:t>
      </w:r>
    </w:p>
    <w:p w14:paraId="385003CB"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 Moruna: cada una restará 500 metros de la longitud máxima del arte de red que se pretenda calar o 300 anzuelos de palangre.</w:t>
      </w:r>
    </w:p>
    <w:p w14:paraId="70AE66C6"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Para acreditar dicha compatibilidad, las embarcaciones que se dediquen a estas actividades deberán llevar a bordo un documento expedido por la Dirección General de Pesca, en el que se indiquen los puntos asignados, el período de calado y el arte utilizado.</w:t>
      </w:r>
    </w:p>
    <w:p w14:paraId="6DA9A693" w14:textId="77777777" w:rsidR="00CA38EE" w:rsidRDefault="00CA38EE">
      <w:pPr>
        <w:pStyle w:val="Textoindependiente"/>
        <w:rPr>
          <w:rFonts w:ascii="Noto Sans" w:eastAsia="Noto Sans" w:hAnsi="Noto Sans" w:cs="Noto Sans"/>
          <w:lang w:val="es-ES"/>
        </w:rPr>
      </w:pPr>
    </w:p>
    <w:p w14:paraId="20683DEE"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Artículo 13</w:t>
      </w:r>
    </w:p>
    <w:p w14:paraId="5A1C95EC"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 xml:space="preserve">Medidas de conservación y protección de la biodiversidad marina </w:t>
      </w:r>
    </w:p>
    <w:p w14:paraId="15B05CFF"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1. En caso de observación de cetáceos, deberá actuarse de acuerdo con lo establecido en el Real Decreto 1727/2007, de 21 de diciembre, por el que se establecen medidas de protección de los cetáceos.</w:t>
      </w:r>
    </w:p>
    <w:p w14:paraId="29EC6972"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2. Deberán promoverse estudios en el ámbito marino para determinar los niveles de contaminación acústica a lo largo del año, así como la interacción de las actividades que se desarrollan en dicho entorno y su afección sobre las especies marinas, especialmente los cetáceos.</w:t>
      </w:r>
    </w:p>
    <w:p w14:paraId="6D9606D7"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lastRenderedPageBreak/>
        <w:t>3. En el ámbito de aplicación de este decreto, deberá cumplirse la normativa vigente de la Unión Europea e internacional relativa a la conservación de tiburones y rayas, en particular lo establecido en el Reglamento (UE) 2019/1241, el Reglamento (UE) 2019/1022, el Reglamento (UE) 2023/194 y las decisiones de la Comisión General de Pesca del Mediterráneo (CGPM).</w:t>
      </w:r>
    </w:p>
    <w:p w14:paraId="2F914A70" w14:textId="77777777" w:rsidR="00CA38EE" w:rsidRDefault="00994EE6">
      <w:pPr>
        <w:pStyle w:val="Textoindependiente"/>
        <w:rPr>
          <w:rFonts w:ascii="Noto Sans" w:eastAsia="Noto Sans" w:hAnsi="Noto Sans" w:cs="Noto Sans"/>
          <w:lang w:val="es-ES"/>
        </w:rPr>
      </w:pPr>
      <w:r>
        <w:rPr>
          <w:rFonts w:ascii="Noto Sans" w:eastAsia="Noto Sans" w:hAnsi="Noto Sans" w:cs="Noto Sans"/>
          <w:lang w:val="es-ES"/>
        </w:rPr>
        <w:t>4. Deberá tenerse en cuenta la regulación establecida en el Decreto 91/2023, de 15 de diciembre, por el que se regula la pesca marítima y el marisqueo en las zonas que integran la red ecológica europea Natura 2000 declaradas por la Comunidad Autónoma de las Illes Balears, concretamente el artículo 3 relativo a la pesca y marisqueo profesional.</w:t>
      </w:r>
    </w:p>
    <w:p w14:paraId="73E1668D" w14:textId="77777777" w:rsidR="00CA38EE" w:rsidRDefault="00CA38EE">
      <w:pPr>
        <w:pStyle w:val="Textoindependiente"/>
        <w:rPr>
          <w:rFonts w:ascii="Noto Sans" w:eastAsia="Noto Sans" w:hAnsi="Noto Sans" w:cs="Noto Sans"/>
          <w:lang w:val="es-ES"/>
        </w:rPr>
      </w:pPr>
    </w:p>
    <w:p w14:paraId="29283472" w14:textId="77777777" w:rsidR="00CA38EE" w:rsidRDefault="00994EE6">
      <w:pPr>
        <w:pStyle w:val="Textoindependiente"/>
        <w:rPr>
          <w:rFonts w:ascii="Noto Sans" w:eastAsia="Noto Sans" w:hAnsi="Noto Sans" w:cs="Noto Sans"/>
          <w:b/>
          <w:bCs/>
          <w:lang w:val="es-ES"/>
        </w:rPr>
      </w:pPr>
      <w:r>
        <w:rPr>
          <w:rFonts w:ascii="Noto Sans" w:eastAsia="Noto Sans" w:hAnsi="Noto Sans" w:cs="Noto Sans"/>
          <w:b/>
          <w:bCs/>
          <w:lang w:val="es-ES"/>
        </w:rPr>
        <w:t>Artículo 14</w:t>
      </w:r>
    </w:p>
    <w:p w14:paraId="0670D1C2"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 xml:space="preserve">Comisión de cogestión </w:t>
      </w:r>
    </w:p>
    <w:p w14:paraId="312BB8DF"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1. Con el fin de incrementar la colaboración y el flujo de información entre la Administración, el sector pesquero implicado en esta pesquería, el ámbito científico y las ONG de conservación de la naturaleza, se constituye la Comisión de Cogestión del Plan de Gestión para la Pesca Profesional en las Aguas Interiores de las Bahías de Pollença y Alcúdia, de carácter consultivo, que estará integrada por los siguientes miembros:</w:t>
      </w:r>
    </w:p>
    <w:p w14:paraId="75602218" w14:textId="77777777" w:rsidR="00CA38EE" w:rsidRDefault="00994EE6">
      <w:pPr>
        <w:pStyle w:val="Prrafodelista"/>
        <w:numPr>
          <w:ilvl w:val="0"/>
          <w:numId w:val="6"/>
        </w:numPr>
        <w:spacing w:before="240" w:line="276" w:lineRule="auto"/>
        <w:rPr>
          <w:rFonts w:ascii="Noto Sans" w:eastAsia="Noto Sans" w:hAnsi="Noto Sans" w:cs="Noto Sans"/>
          <w:lang w:val="es-ES"/>
        </w:rPr>
      </w:pPr>
      <w:r>
        <w:rPr>
          <w:rFonts w:ascii="Noto Sans" w:eastAsia="Noto Sans" w:hAnsi="Noto Sans" w:cs="Noto Sans"/>
          <w:lang w:val="es-ES"/>
        </w:rPr>
        <w:t>Un representante de la Cofradía de Pescadores de Pollença.</w:t>
      </w:r>
    </w:p>
    <w:p w14:paraId="0408DFD1"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 la Cofradía de Pescadores de Alcúdia.</w:t>
      </w:r>
    </w:p>
    <w:p w14:paraId="637F1A62"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 la Cofradía de Pescadores de Cala Rajada.</w:t>
      </w:r>
    </w:p>
    <w:p w14:paraId="1E240A0E"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 la Federación Balear de Cofradías de Pescadores.</w:t>
      </w:r>
    </w:p>
    <w:p w14:paraId="67A27681"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 los pescadores de artes menores de una de las tres cofradías, que actuará como presidente.</w:t>
      </w:r>
    </w:p>
    <w:p w14:paraId="5EA90E46"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Dos representantes de la Dirección General de Pesca, uno de los cuales actuará como secretario.</w:t>
      </w:r>
    </w:p>
    <w:p w14:paraId="16958459"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 la Dirección General de Medio Natural y Gestión Forestal.</w:t>
      </w:r>
    </w:p>
    <w:p w14:paraId="010319E9"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del Consejo Superior de Investigaciones Científicas.</w:t>
      </w:r>
    </w:p>
    <w:p w14:paraId="6F05AF5F"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representante del Grupo de Acción Local de Pesca de Mallorca.</w:t>
      </w:r>
    </w:p>
    <w:p w14:paraId="4825C467" w14:textId="77777777" w:rsidR="00CA38EE" w:rsidRDefault="00994EE6">
      <w:pPr>
        <w:pStyle w:val="Prrafodelista"/>
        <w:numPr>
          <w:ilvl w:val="0"/>
          <w:numId w:val="6"/>
        </w:numPr>
        <w:spacing w:line="276" w:lineRule="auto"/>
        <w:rPr>
          <w:rFonts w:ascii="Noto Sans" w:eastAsia="Noto Sans" w:hAnsi="Noto Sans" w:cs="Noto Sans"/>
          <w:lang w:val="es-ES"/>
        </w:rPr>
      </w:pPr>
      <w:r>
        <w:rPr>
          <w:rFonts w:ascii="Noto Sans" w:eastAsia="Noto Sans" w:hAnsi="Noto Sans" w:cs="Noto Sans"/>
          <w:lang w:val="es-ES"/>
        </w:rPr>
        <w:t>Un experto con conocimiento del sector pesquero y de los recursos pesqueros locales, nombrado por el director general de Pesca.</w:t>
      </w:r>
    </w:p>
    <w:p w14:paraId="6BEC7038" w14:textId="77777777" w:rsidR="00CA38EE" w:rsidRDefault="00994EE6">
      <w:pPr>
        <w:pStyle w:val="Prrafodelista"/>
        <w:numPr>
          <w:ilvl w:val="0"/>
          <w:numId w:val="6"/>
        </w:numPr>
        <w:spacing w:after="240" w:line="276" w:lineRule="auto"/>
        <w:rPr>
          <w:rFonts w:ascii="Noto Sans" w:eastAsia="Noto Sans" w:hAnsi="Noto Sans" w:cs="Noto Sans"/>
          <w:lang w:val="es-ES"/>
        </w:rPr>
      </w:pPr>
      <w:r>
        <w:rPr>
          <w:rFonts w:ascii="Noto Sans" w:eastAsia="Noto Sans" w:hAnsi="Noto Sans" w:cs="Noto Sans"/>
          <w:lang w:val="es-ES"/>
        </w:rPr>
        <w:t>Un representante de entidades conservacionistas de ámbito local.</w:t>
      </w:r>
    </w:p>
    <w:p w14:paraId="6899F526"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2. La Comisión será convocada ordinariamente dos veces al año: preferentemente entre los meses de enero y febrero, antes del inicio del período de máxima actividad pesquera, y entre septiembre y noviembre, una vez finalizada la temporada principal de pesca. Estas sesiones tendrán como finalidad la exposición de las incidencias detectadas durante la campaña, la formulación de propuestas de mejora de la pesquería para el año siguiente, así como la presentación de propuestas concretas de seguimiento técnico y científico relativas a las especies objetivo y a los artes de pesca.</w:t>
      </w:r>
    </w:p>
    <w:p w14:paraId="755EA6B7"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lastRenderedPageBreak/>
        <w:t>3. La Comisión podrá ser convocada extraordinariamente a petición de cualquiera de las partes.</w:t>
      </w:r>
    </w:p>
    <w:p w14:paraId="4B2EBA9C"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4. El régimen jurídico de organización y funcionamiento de la Comisión será el previsto en la legislación reguladora de los órganos colegiados de la Comunidad Autónoma de las Illes Balears.</w:t>
      </w:r>
    </w:p>
    <w:p w14:paraId="5AB9BD86" w14:textId="77777777" w:rsidR="00CA38EE" w:rsidRDefault="00CA38EE">
      <w:pPr>
        <w:pStyle w:val="Textoindependiente"/>
        <w:spacing w:after="240"/>
        <w:rPr>
          <w:rFonts w:ascii="Noto Sans" w:eastAsia="Noto Sans" w:hAnsi="Noto Sans" w:cs="Noto Sans"/>
          <w:lang w:val="es-ES"/>
        </w:rPr>
      </w:pPr>
    </w:p>
    <w:p w14:paraId="22A8A921"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 xml:space="preserve">Artículo 15 </w:t>
      </w:r>
    </w:p>
    <w:p w14:paraId="3B6D1C99"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Seguimiento</w:t>
      </w:r>
    </w:p>
    <w:p w14:paraId="63EEE99B"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1. La Dirección General de Pesca garantizará una supervisión adecuada del Plan de Gestión, basada en la mejor información científica disponible. Para obtener dicha información, se llevará a cabo un control y seguimiento de la pesquería de conformidad con las indicaciones incluidas en el anexo 6.</w:t>
      </w:r>
    </w:p>
    <w:p w14:paraId="5F84B8D9"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2. Anualmente, coincidiendo con la reunión prevista en el artículo 10.2.b) y sobre la base de los resultados del seguimiento mencionado en el apartado anterior, se elaborará un informe que será remitido a la Comisión de Cogestión, la cual podrá incluir propuestas de medidas de gestión.</w:t>
      </w:r>
    </w:p>
    <w:p w14:paraId="01B438FF"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3. Los responsables de las embarcaciones incluidas en el censo estarán obligados a prestar a las autoridades y organismos encargados del control y seguimiento de la pesquería todo el apoyo requerido para el ejercicio de dichas funciones.</w:t>
      </w:r>
    </w:p>
    <w:p w14:paraId="79FB5225"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4. El acceso a la información generada en los registros previstos en el anexo 6 se realizará conforme a la normativa vigente en materia de protección de datos, garantizando la confidencialidad en el uso de dicha información.</w:t>
      </w:r>
    </w:p>
    <w:p w14:paraId="398B4889" w14:textId="77777777" w:rsidR="00CA38EE" w:rsidRDefault="00CA38EE">
      <w:pPr>
        <w:pStyle w:val="Textoindependiente"/>
        <w:spacing w:after="240"/>
        <w:rPr>
          <w:rFonts w:ascii="Noto Sans" w:eastAsia="Noto Sans" w:hAnsi="Noto Sans" w:cs="Noto Sans"/>
          <w:lang w:val="es-ES"/>
        </w:rPr>
      </w:pPr>
    </w:p>
    <w:p w14:paraId="2F6A7A53"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Artículo 16</w:t>
      </w:r>
    </w:p>
    <w:p w14:paraId="22E391BA"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Infracciones y sanciones</w:t>
      </w:r>
    </w:p>
    <w:p w14:paraId="0F5A62AB" w14:textId="77777777" w:rsidR="00CA38EE" w:rsidRDefault="00994EE6">
      <w:pPr>
        <w:pStyle w:val="Textoindependiente"/>
        <w:spacing w:after="240"/>
        <w:rPr>
          <w:rFonts w:ascii="Noto Sans" w:eastAsia="Noto Sans" w:hAnsi="Noto Sans" w:cs="Noto Sans"/>
          <w:b/>
          <w:bCs/>
          <w:color w:val="auto"/>
          <w:lang w:val="es-ES"/>
        </w:rPr>
      </w:pPr>
      <w:r>
        <w:rPr>
          <w:rFonts w:ascii="Noto Sans" w:eastAsia="Noto Sans" w:hAnsi="Noto Sans" w:cs="Noto Sans"/>
          <w:color w:val="auto"/>
          <w:lang w:val="es-ES"/>
        </w:rPr>
        <w:t>El régimen sancionador aplicable en este Decreto será el establecido en el título XII de la Ley 6/2013, de 7 de noviembre, de pesca marítima, marisqueo y acuicultura en las Illes Balears, así como en las disposiciones concordantes.</w:t>
      </w:r>
    </w:p>
    <w:p w14:paraId="1987E249" w14:textId="77777777" w:rsidR="00CA38EE" w:rsidRDefault="00CA38EE">
      <w:pPr>
        <w:pStyle w:val="Textoindependiente"/>
        <w:spacing w:after="240"/>
        <w:rPr>
          <w:rFonts w:ascii="Noto Sans" w:eastAsia="Noto Sans" w:hAnsi="Noto Sans" w:cs="Noto Sans"/>
          <w:b/>
          <w:bCs/>
          <w:color w:val="auto"/>
          <w:lang w:val="es-ES"/>
        </w:rPr>
      </w:pPr>
    </w:p>
    <w:p w14:paraId="215457C0" w14:textId="77777777" w:rsidR="00994EE6" w:rsidRDefault="00994EE6">
      <w:pPr>
        <w:pStyle w:val="Textoindependiente"/>
        <w:spacing w:after="240"/>
        <w:rPr>
          <w:rFonts w:ascii="Noto Sans" w:eastAsia="Noto Sans" w:hAnsi="Noto Sans" w:cs="Noto Sans"/>
          <w:b/>
          <w:bCs/>
          <w:color w:val="auto"/>
          <w:lang w:val="es-ES"/>
        </w:rPr>
      </w:pPr>
    </w:p>
    <w:p w14:paraId="79CF03E5" w14:textId="77777777" w:rsidR="00994EE6" w:rsidRDefault="00994EE6">
      <w:pPr>
        <w:pStyle w:val="Textoindependiente"/>
        <w:spacing w:after="240"/>
        <w:rPr>
          <w:rFonts w:ascii="Noto Sans" w:eastAsia="Noto Sans" w:hAnsi="Noto Sans" w:cs="Noto Sans"/>
          <w:b/>
          <w:bCs/>
          <w:color w:val="auto"/>
          <w:lang w:val="es-ES"/>
        </w:rPr>
      </w:pPr>
    </w:p>
    <w:p w14:paraId="0D00CBC9" w14:textId="3BB715E0" w:rsidR="00CA38EE" w:rsidRDefault="00994EE6">
      <w:pPr>
        <w:pStyle w:val="Textoindependiente"/>
        <w:spacing w:after="240"/>
        <w:rPr>
          <w:rFonts w:ascii="Noto Sans" w:eastAsia="Noto Sans" w:hAnsi="Noto Sans" w:cs="Noto Sans"/>
          <w:b/>
          <w:bCs/>
          <w:color w:val="auto"/>
          <w:lang w:val="es-ES"/>
        </w:rPr>
      </w:pPr>
      <w:r>
        <w:rPr>
          <w:rFonts w:ascii="Noto Sans" w:eastAsia="Noto Sans" w:hAnsi="Noto Sans" w:cs="Noto Sans"/>
          <w:b/>
          <w:bCs/>
          <w:color w:val="auto"/>
          <w:lang w:val="es-ES"/>
        </w:rPr>
        <w:lastRenderedPageBreak/>
        <w:t>Disposición adicional primera</w:t>
      </w:r>
    </w:p>
    <w:p w14:paraId="72969983" w14:textId="2437DA0E" w:rsidR="00CA38EE" w:rsidRDefault="00CD519C">
      <w:pPr>
        <w:pStyle w:val="Textoindependiente"/>
        <w:spacing w:after="240"/>
        <w:rPr>
          <w:rFonts w:ascii="Noto Sans" w:eastAsia="Noto Sans" w:hAnsi="Noto Sans" w:cs="Noto Sans"/>
          <w:b/>
          <w:bCs/>
          <w:lang w:val="es-ES"/>
        </w:rPr>
      </w:pPr>
      <w:r>
        <w:rPr>
          <w:rFonts w:ascii="Noto Sans" w:eastAsia="Noto Sans" w:hAnsi="Noto Sans" w:cs="Noto Sans"/>
          <w:b/>
          <w:bCs/>
          <w:lang w:val="es-ES"/>
        </w:rPr>
        <w:t>Vigencia</w:t>
      </w:r>
      <w:r w:rsidR="00994EE6">
        <w:rPr>
          <w:rFonts w:ascii="Noto Sans" w:eastAsia="Noto Sans" w:hAnsi="Noto Sans" w:cs="Noto Sans"/>
          <w:b/>
          <w:bCs/>
          <w:lang w:val="es-ES"/>
        </w:rPr>
        <w:t xml:space="preserve"> del Pla</w:t>
      </w:r>
      <w:r>
        <w:rPr>
          <w:rFonts w:ascii="Noto Sans" w:eastAsia="Noto Sans" w:hAnsi="Noto Sans" w:cs="Noto Sans"/>
          <w:b/>
          <w:bCs/>
          <w:lang w:val="es-ES"/>
        </w:rPr>
        <w:t>n</w:t>
      </w:r>
    </w:p>
    <w:p w14:paraId="168C18F9"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El Plan de Gestión tendrá una vigencia inicial de seis años. No obstante, una vez finalizado dicho período y previo acuerdo de la Comisión de Cogestión, podrá prorrogarse por períodos de dos años. Esta prórroga podrá acordarse de forma sucesiva cada vez que el plan caduque, siempre que se cuente con el acuerdo previo de la Comisión de Cogestión.</w:t>
      </w:r>
    </w:p>
    <w:p w14:paraId="34EAD545" w14:textId="77777777" w:rsidR="00994EE6" w:rsidRDefault="00994EE6">
      <w:pPr>
        <w:pStyle w:val="Textoindependiente"/>
        <w:spacing w:after="240"/>
        <w:rPr>
          <w:rFonts w:ascii="Noto Sans" w:eastAsia="Noto Sans" w:hAnsi="Noto Sans" w:cs="Noto Sans"/>
          <w:b/>
          <w:bCs/>
          <w:lang w:val="es-ES"/>
        </w:rPr>
      </w:pPr>
    </w:p>
    <w:p w14:paraId="755EB0A5" w14:textId="15D55A03"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Disposición final primera</w:t>
      </w:r>
    </w:p>
    <w:p w14:paraId="4CAB9EC1"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Modificación de anexos</w:t>
      </w:r>
    </w:p>
    <w:p w14:paraId="6EF632D8"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Mediante resolución del Consejero de Agricultura, Pesca y Medio Natural, que deberá publicarse en el Boletín Oficial de las Illes Balears, podrán modificarse los anexos 2, 3, 4 y 5 de este Decreto.</w:t>
      </w:r>
    </w:p>
    <w:p w14:paraId="39307088" w14:textId="77777777" w:rsidR="00994EE6" w:rsidRDefault="00994EE6">
      <w:pPr>
        <w:pStyle w:val="Textoindependiente"/>
        <w:spacing w:after="240"/>
        <w:rPr>
          <w:rFonts w:ascii="Noto Sans" w:eastAsia="Noto Sans" w:hAnsi="Noto Sans" w:cs="Noto Sans"/>
          <w:b/>
          <w:bCs/>
          <w:lang w:val="es-ES"/>
        </w:rPr>
      </w:pPr>
    </w:p>
    <w:p w14:paraId="76097569" w14:textId="30048A0A"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D</w:t>
      </w:r>
      <w:r>
        <w:rPr>
          <w:rFonts w:ascii="Noto Sans" w:eastAsia="Noto Sans" w:hAnsi="Noto Sans" w:cs="Noto Sans"/>
          <w:b/>
          <w:bCs/>
          <w:color w:val="auto"/>
          <w:lang w:val="es-ES"/>
        </w:rPr>
        <w:t>isposición final segunda</w:t>
      </w:r>
    </w:p>
    <w:p w14:paraId="63EA418A"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Modificación del artículo 2 del Decreto 10/2019, de 15 de febrero, para la incorporación de la caja verde en las embarcaciones de arrastre</w:t>
      </w:r>
    </w:p>
    <w:p w14:paraId="2CE149D7"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Se añade un nuevo apartado 5 al artículo 2 del Decreto 10/2019, con la siguiente redacción:</w:t>
      </w:r>
    </w:p>
    <w:p w14:paraId="59DA7680"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5. Las embarcaciones que ejerzan la pesca de arrastre en el ámbito de las Illes Balears deberán estar incorporadas al Sistema de Localización y Seguimiento de Embarcaciones Pesqueras de las Illes Balears (SLSEPIB) y deberán estar equipadas con la caja verde. Esta obligación será exigible a partir del 1 de enero de 2029.</w:t>
      </w:r>
    </w:p>
    <w:p w14:paraId="2D00EB96" w14:textId="77777777" w:rsidR="00CA38EE" w:rsidRDefault="00CA38EE">
      <w:pPr>
        <w:pStyle w:val="Textoindependiente"/>
        <w:spacing w:after="240"/>
        <w:rPr>
          <w:rFonts w:ascii="Noto Sans" w:eastAsia="Noto Sans" w:hAnsi="Noto Sans" w:cs="Noto Sans"/>
          <w:lang w:val="es-ES"/>
        </w:rPr>
      </w:pPr>
    </w:p>
    <w:p w14:paraId="175AA03A"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Disposición final tercera</w:t>
      </w:r>
    </w:p>
    <w:p w14:paraId="0AC19688"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Modificación del anexo I del Decreto 41/2015, de 22 de mayo</w:t>
      </w:r>
    </w:p>
    <w:p w14:paraId="3FB8A17E"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Se elimina la musola (</w:t>
      </w:r>
      <w:r>
        <w:rPr>
          <w:rFonts w:ascii="Noto Sans" w:eastAsia="Noto Sans" w:hAnsi="Noto Sans" w:cs="Noto Sans"/>
          <w:i/>
          <w:iCs/>
          <w:lang w:val="es-ES"/>
        </w:rPr>
        <w:t>Mustelus mustelus)</w:t>
      </w:r>
      <w:r>
        <w:rPr>
          <w:rFonts w:ascii="Noto Sans" w:eastAsia="Noto Sans" w:hAnsi="Noto Sans" w:cs="Noto Sans"/>
          <w:lang w:val="es-ES"/>
        </w:rPr>
        <w:t xml:space="preserve"> del listado de especies protegidas del anexo I del Decreto 41/2015, de 22 de mayo, por el que se regulan las actividades de extracción de flora o fauna marina y las actividades subacuáticas en las reservas marinas de las aguas interiores del litoral de las Illes Balears.</w:t>
      </w:r>
    </w:p>
    <w:p w14:paraId="2918408E" w14:textId="77777777" w:rsidR="00CA38EE" w:rsidRDefault="00CA38EE">
      <w:pPr>
        <w:pStyle w:val="Textoindependiente"/>
        <w:spacing w:after="240"/>
        <w:rPr>
          <w:rFonts w:ascii="Noto Sans" w:eastAsia="Noto Sans" w:hAnsi="Noto Sans" w:cs="Noto Sans"/>
          <w:lang w:val="es-ES"/>
        </w:rPr>
      </w:pPr>
    </w:p>
    <w:p w14:paraId="202C6FD8" w14:textId="77777777" w:rsidR="00994EE6" w:rsidRDefault="00994EE6">
      <w:pPr>
        <w:pStyle w:val="Textoindependiente"/>
        <w:spacing w:after="240"/>
        <w:rPr>
          <w:rFonts w:ascii="Noto Sans" w:eastAsia="Noto Sans" w:hAnsi="Noto Sans" w:cs="Noto Sans"/>
          <w:b/>
          <w:bCs/>
          <w:lang w:val="es-ES"/>
        </w:rPr>
      </w:pPr>
    </w:p>
    <w:p w14:paraId="22716300" w14:textId="1259F583"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lastRenderedPageBreak/>
        <w:t>Disposición final cuarta</w:t>
      </w:r>
    </w:p>
    <w:p w14:paraId="72EFC18D"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Modificación del artículo 5.4 y del modelo c del anexo 1 del Decreto 34/2014, de 1 de agosto</w:t>
      </w:r>
    </w:p>
    <w:p w14:paraId="72E13428"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Se modifican el apartado 4 del artículo 5 y el modelo c del anexo 1 del Decreto 34/2014, de 1 de agosto, por el que se establecen los principios generales de la pesca recreativa y deportiva en las aguas interiores de las Illes Balears, que quedan redactados en los siguientes términos:</w:t>
      </w:r>
    </w:p>
    <w:p w14:paraId="449ADF23"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Artículo 5.4</w:t>
      </w:r>
      <w:r>
        <w:br/>
      </w:r>
      <w:r>
        <w:rPr>
          <w:rFonts w:ascii="Noto Sans" w:eastAsia="Noto Sans" w:hAnsi="Noto Sans" w:cs="Noto Sans"/>
          <w:lang w:val="es-ES"/>
        </w:rPr>
        <w:t>La concesión de las licencias corresponde al director general de Pesca o a los órganos de los consejos insulares que tengan atribuidas las competencias en esta materia. Las licencias tendrán una validez de tres años y deberán ajustarse, como mínimo, al contenido establecido en el modelo c del anexo 1.</w:t>
      </w:r>
    </w:p>
    <w:p w14:paraId="046F1E41"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Anexo 1. Modelo c) Licencia para la pesca submarina</w:t>
      </w:r>
      <w:r>
        <w:br/>
      </w:r>
      <w:r>
        <w:rPr>
          <w:rFonts w:ascii="Noto Sans" w:eastAsia="Noto Sans" w:hAnsi="Noto Sans" w:cs="Noto Sans"/>
          <w:lang w:val="es-ES"/>
        </w:rPr>
        <w:t xml:space="preserve"> Fecha – Caduca a los tres años – Nº</w:t>
      </w:r>
    </w:p>
    <w:p w14:paraId="35E8639A" w14:textId="77777777" w:rsidR="00CA38EE" w:rsidRDefault="00CA38EE">
      <w:pPr>
        <w:pStyle w:val="Textoindependiente"/>
        <w:spacing w:after="240"/>
        <w:rPr>
          <w:rFonts w:ascii="Noto Sans" w:eastAsia="Noto Sans" w:hAnsi="Noto Sans" w:cs="Noto Sans"/>
          <w:lang w:val="es-ES"/>
        </w:rPr>
      </w:pPr>
    </w:p>
    <w:p w14:paraId="2F41E96E"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Disposición final quinta</w:t>
      </w:r>
    </w:p>
    <w:p w14:paraId="0EA4FCAD"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Desarrollo normativo</w:t>
      </w:r>
    </w:p>
    <w:p w14:paraId="6A7E38E9"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Se autoriza al consejero de Agricultura, Pesca y Medio Natural para dictar las disposiciones necesarias para el desarrollo de este decreto</w:t>
      </w:r>
    </w:p>
    <w:p w14:paraId="075A281A" w14:textId="77777777" w:rsidR="00CA38EE" w:rsidRDefault="00CA38EE">
      <w:pPr>
        <w:pStyle w:val="Textoindependiente"/>
        <w:spacing w:after="240"/>
        <w:rPr>
          <w:rFonts w:ascii="Noto Sans" w:eastAsia="Noto Sans" w:hAnsi="Noto Sans" w:cs="Noto Sans"/>
          <w:lang w:val="es-ES"/>
        </w:rPr>
      </w:pPr>
    </w:p>
    <w:p w14:paraId="28C11EAD"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Disposición final sexta</w:t>
      </w:r>
    </w:p>
    <w:p w14:paraId="13C2934A"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Entrada en vigor</w:t>
      </w:r>
    </w:p>
    <w:p w14:paraId="2A993974"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Este Decreto entrará en vigor al día siguiente de su publicación en el Boletín Oficial de las Illes Balears.</w:t>
      </w:r>
    </w:p>
    <w:p w14:paraId="533DDA20" w14:textId="77777777" w:rsidR="00CA38EE" w:rsidRDefault="00CA38EE">
      <w:pPr>
        <w:pStyle w:val="Textoindependiente"/>
        <w:spacing w:after="240"/>
        <w:rPr>
          <w:rFonts w:ascii="Noto Sans" w:eastAsia="Noto Sans" w:hAnsi="Noto Sans" w:cs="Noto Sans"/>
          <w:lang w:val="es-ES"/>
        </w:rPr>
      </w:pPr>
    </w:p>
    <w:p w14:paraId="06E5E64E" w14:textId="77777777" w:rsidR="00CA38EE" w:rsidRDefault="00CA38EE">
      <w:pPr>
        <w:pStyle w:val="Textoindependiente"/>
        <w:spacing w:after="240"/>
        <w:rPr>
          <w:rFonts w:ascii="Noto Sans" w:eastAsia="Noto Sans" w:hAnsi="Noto Sans" w:cs="Noto Sans"/>
          <w:lang w:val="es-ES"/>
        </w:rPr>
      </w:pPr>
    </w:p>
    <w:p w14:paraId="3CC0E84C" w14:textId="77777777" w:rsidR="00CA38EE" w:rsidRDefault="00CA38EE">
      <w:pPr>
        <w:pStyle w:val="Textoindependiente"/>
        <w:spacing w:after="240"/>
        <w:rPr>
          <w:rFonts w:ascii="Noto Sans" w:eastAsia="Noto Sans" w:hAnsi="Noto Sans" w:cs="Noto Sans"/>
          <w:lang w:val="es-ES"/>
        </w:rPr>
      </w:pPr>
    </w:p>
    <w:p w14:paraId="0E7BF79D" w14:textId="77777777" w:rsidR="00994EE6" w:rsidRDefault="00994EE6">
      <w:pPr>
        <w:pStyle w:val="Textoindependiente"/>
        <w:spacing w:after="240"/>
        <w:rPr>
          <w:rFonts w:ascii="Noto Sans" w:eastAsia="Noto Sans" w:hAnsi="Noto Sans" w:cs="Noto Sans"/>
          <w:lang w:val="es-ES"/>
        </w:rPr>
      </w:pPr>
    </w:p>
    <w:p w14:paraId="05E8D084" w14:textId="77777777" w:rsidR="00994EE6" w:rsidRDefault="00994EE6">
      <w:pPr>
        <w:pStyle w:val="Textoindependiente"/>
        <w:spacing w:after="240"/>
        <w:rPr>
          <w:rFonts w:ascii="Noto Sans" w:eastAsia="Noto Sans" w:hAnsi="Noto Sans" w:cs="Noto Sans"/>
          <w:lang w:val="es-ES"/>
        </w:rPr>
      </w:pPr>
    </w:p>
    <w:p w14:paraId="4F9C7AA8" w14:textId="77777777"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lang w:val="es-ES"/>
        </w:rPr>
        <w:lastRenderedPageBreak/>
        <w:t>ANEXO 1</w:t>
      </w:r>
    </w:p>
    <w:p w14:paraId="411A7113" w14:textId="77777777" w:rsidR="00CA38EE" w:rsidRDefault="00994EE6">
      <w:pPr>
        <w:spacing w:after="240" w:line="276" w:lineRule="auto"/>
        <w:jc w:val="center"/>
        <w:rPr>
          <w:rFonts w:ascii="Noto Sans" w:eastAsia="Noto Sans" w:hAnsi="Noto Sans" w:cs="Noto Sans"/>
          <w:b/>
          <w:bCs/>
          <w:lang w:val="es-ES"/>
        </w:rPr>
      </w:pPr>
      <w:r>
        <w:rPr>
          <w:rFonts w:ascii="Noto Sans" w:eastAsia="Noto Sans" w:hAnsi="Noto Sans" w:cs="Noto Sans"/>
          <w:b/>
          <w:bCs/>
          <w:color w:val="auto"/>
          <w:lang w:val="es-ES"/>
        </w:rPr>
        <w:t>Delimitación cartográfica del ámbito de aplicación del Plan de Gestión para la pesca profesional en las aguas interiores de las bahías de Pollença y Alcúdia.</w:t>
      </w:r>
      <w:r>
        <w:rPr>
          <w:rFonts w:ascii="Noto Sans" w:eastAsia="Noto Sans" w:hAnsi="Noto Sans" w:cs="Noto Sans"/>
          <w:b/>
          <w:bCs/>
          <w:lang w:val="es-ES"/>
        </w:rPr>
        <w:t xml:space="preserve"> </w:t>
      </w:r>
    </w:p>
    <w:p w14:paraId="2E70AAEA" w14:textId="77777777" w:rsidR="00CA38EE" w:rsidRDefault="00CA38EE">
      <w:pPr>
        <w:pStyle w:val="Textoindependiente"/>
        <w:spacing w:after="240"/>
        <w:rPr>
          <w:rFonts w:ascii="Noto Sans" w:eastAsia="Noto Sans" w:hAnsi="Noto Sans" w:cs="Noto Sans"/>
          <w:lang w:val="es-ES"/>
        </w:rPr>
      </w:pPr>
    </w:p>
    <w:p w14:paraId="335991A6" w14:textId="77777777" w:rsidR="00CA38EE" w:rsidRDefault="00994EE6">
      <w:pPr>
        <w:pStyle w:val="Textoindependiente"/>
        <w:spacing w:after="240"/>
        <w:rPr>
          <w:rFonts w:ascii="Noto Sans" w:eastAsia="Noto Sans" w:hAnsi="Noto Sans" w:cs="Noto Sans"/>
          <w:lang w:val="es-ES"/>
        </w:rPr>
      </w:pPr>
      <w:r>
        <w:rPr>
          <w:noProof/>
        </w:rPr>
        <w:drawing>
          <wp:inline distT="0" distB="0" distL="0" distR="0" wp14:anchorId="211E79D3" wp14:editId="2934622E">
            <wp:extent cx="5759450" cy="4070350"/>
            <wp:effectExtent l="0" t="0" r="0" b="0"/>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7"/>
                    <a:stretch>
                      <a:fillRect/>
                    </a:stretch>
                  </pic:blipFill>
                  <pic:spPr bwMode="auto">
                    <a:xfrm>
                      <a:off x="0" y="0"/>
                      <a:ext cx="5759450" cy="4070350"/>
                    </a:xfrm>
                    <a:prstGeom prst="rect">
                      <a:avLst/>
                    </a:prstGeom>
                  </pic:spPr>
                </pic:pic>
              </a:graphicData>
            </a:graphic>
          </wp:inline>
        </w:drawing>
      </w:r>
    </w:p>
    <w:p w14:paraId="0E356174" w14:textId="77777777" w:rsidR="00CA38EE" w:rsidRDefault="00CA38EE">
      <w:pPr>
        <w:pStyle w:val="Textoindependiente"/>
        <w:spacing w:after="240"/>
        <w:rPr>
          <w:rFonts w:ascii="Noto Sans" w:eastAsia="Noto Sans" w:hAnsi="Noto Sans" w:cs="Noto Sans"/>
          <w:lang w:val="es-ES"/>
        </w:rPr>
      </w:pPr>
    </w:p>
    <w:p w14:paraId="30E851F1" w14:textId="77777777" w:rsidR="00CA38EE" w:rsidRDefault="00CA38EE">
      <w:pPr>
        <w:pStyle w:val="Textoindependiente"/>
        <w:spacing w:after="240"/>
        <w:jc w:val="center"/>
        <w:rPr>
          <w:rFonts w:ascii="Noto Sans" w:eastAsia="Noto Sans" w:hAnsi="Noto Sans" w:cs="Noto Sans"/>
          <w:b/>
          <w:bCs/>
          <w:lang w:val="es-ES"/>
        </w:rPr>
      </w:pPr>
    </w:p>
    <w:p w14:paraId="5B9C6A3C" w14:textId="77777777" w:rsidR="00CA38EE" w:rsidRDefault="00CA38EE">
      <w:pPr>
        <w:pStyle w:val="Textoindependiente"/>
        <w:spacing w:after="240"/>
        <w:jc w:val="center"/>
        <w:rPr>
          <w:rFonts w:ascii="Noto Sans" w:eastAsia="Noto Sans" w:hAnsi="Noto Sans" w:cs="Noto Sans"/>
          <w:b/>
          <w:bCs/>
          <w:lang w:val="es-ES"/>
        </w:rPr>
      </w:pPr>
    </w:p>
    <w:p w14:paraId="1AA457EA" w14:textId="77777777" w:rsidR="00CA38EE" w:rsidRDefault="00CA38EE">
      <w:pPr>
        <w:pStyle w:val="Textoindependiente"/>
        <w:spacing w:after="240"/>
        <w:jc w:val="center"/>
        <w:rPr>
          <w:rFonts w:ascii="Noto Sans" w:eastAsia="Noto Sans" w:hAnsi="Noto Sans" w:cs="Noto Sans"/>
          <w:b/>
          <w:bCs/>
          <w:lang w:val="es-ES"/>
        </w:rPr>
      </w:pPr>
    </w:p>
    <w:p w14:paraId="2DCD76DD" w14:textId="77777777" w:rsidR="00CA38EE" w:rsidRDefault="00CA38EE">
      <w:pPr>
        <w:pStyle w:val="Textoindependiente"/>
        <w:spacing w:after="240"/>
        <w:jc w:val="center"/>
        <w:rPr>
          <w:rFonts w:ascii="Noto Sans" w:eastAsia="Noto Sans" w:hAnsi="Noto Sans" w:cs="Noto Sans"/>
          <w:b/>
          <w:bCs/>
          <w:lang w:val="es-ES"/>
        </w:rPr>
      </w:pPr>
    </w:p>
    <w:p w14:paraId="3E55C15F" w14:textId="77777777" w:rsidR="00CA38EE" w:rsidRDefault="00CA38EE">
      <w:pPr>
        <w:pStyle w:val="Textoindependiente"/>
        <w:spacing w:after="240"/>
        <w:jc w:val="center"/>
        <w:rPr>
          <w:rFonts w:ascii="Noto Sans" w:eastAsia="Noto Sans" w:hAnsi="Noto Sans" w:cs="Noto Sans"/>
          <w:b/>
          <w:bCs/>
          <w:lang w:val="es-ES"/>
        </w:rPr>
      </w:pPr>
    </w:p>
    <w:p w14:paraId="7AE81F1E" w14:textId="77777777" w:rsidR="00CA38EE" w:rsidRDefault="00CA38EE">
      <w:pPr>
        <w:pStyle w:val="Textoindependiente"/>
        <w:spacing w:after="240"/>
        <w:jc w:val="center"/>
        <w:rPr>
          <w:rFonts w:ascii="Noto Sans" w:eastAsia="Noto Sans" w:hAnsi="Noto Sans" w:cs="Noto Sans"/>
          <w:b/>
          <w:bCs/>
          <w:lang w:val="es-ES"/>
        </w:rPr>
      </w:pPr>
    </w:p>
    <w:p w14:paraId="7CCC7509" w14:textId="77777777" w:rsidR="00994EE6" w:rsidRDefault="00994EE6">
      <w:pPr>
        <w:pStyle w:val="Textoindependiente"/>
        <w:spacing w:after="240"/>
        <w:jc w:val="center"/>
        <w:rPr>
          <w:rFonts w:ascii="Noto Sans" w:eastAsia="Noto Sans" w:hAnsi="Noto Sans" w:cs="Noto Sans"/>
          <w:b/>
          <w:bCs/>
          <w:lang w:val="es-ES"/>
        </w:rPr>
      </w:pPr>
    </w:p>
    <w:p w14:paraId="35FEB849" w14:textId="77777777"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lang w:val="es-ES"/>
        </w:rPr>
        <w:lastRenderedPageBreak/>
        <w:t>ANEXO 2</w:t>
      </w:r>
    </w:p>
    <w:p w14:paraId="07F0A210" w14:textId="77777777"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lang w:val="es-ES"/>
        </w:rPr>
        <w:t>Descripción de los artes</w:t>
      </w:r>
    </w:p>
    <w:p w14:paraId="3585F59D"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Con el objetivo de contribuir a la reducción del esfuerzo pesquero y garantizar el aprovechamiento sostenible de los recursos marinos vivos, se establecen las siguientes limitaciones específicas:</w:t>
      </w:r>
    </w:p>
    <w:p w14:paraId="6F2C4B8B"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La red para langosta:</w:t>
      </w:r>
    </w:p>
    <w:p w14:paraId="115B0697"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Se trata de un arte de enmalle constituido por una o varias piezas de red de 50 a 62 metros, cada una de las cuales está formada por una o tres telas superpuestas y montadas sobre la misma relinga. En el caso de los trasmallos, las telas exteriores tienen la misma dimensión de malla y grosor del hilo, mientras que la tela interior tiene una malla de menor tamaño y puede tener un grosor de hilo mayor que las exteriores.</w:t>
      </w:r>
      <w:r>
        <w:br/>
      </w:r>
      <w:r>
        <w:rPr>
          <w:rFonts w:ascii="Noto Sans" w:eastAsia="Noto Sans" w:hAnsi="Noto Sans" w:cs="Noto Sans"/>
          <w:lang w:val="es-ES"/>
        </w:rPr>
        <w:t>El material de las telas podrá ser hilo trenzado, monofilamento o multifilamento. Las dimensiones mínimas de las mallas exteriores serán de 400 milímetros (mm), mientras que la malla interior será de 133 mm. La altura máxima del trasmallo para langosta será de 3 metros, medidos desde la relinga inferior a la superior.</w:t>
      </w:r>
    </w:p>
    <w:p w14:paraId="6C188254"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En el caso de redes de una sola tela, el material también podrá ser hilo trenzado, monofilamento o multifilamento. La dimensión mínima de la malla será de 133 mm y la altura máxima de la red langostera será de 3 metros, medida igualmente desde la relinga inferior a la superior.</w:t>
      </w:r>
    </w:p>
    <w:p w14:paraId="034CC88E" w14:textId="77777777" w:rsidR="00CA38EE" w:rsidRDefault="00CA38EE">
      <w:pPr>
        <w:pStyle w:val="Textoindependiente"/>
        <w:spacing w:after="240"/>
        <w:rPr>
          <w:rFonts w:ascii="Noto Sans" w:eastAsia="Noto Sans" w:hAnsi="Noto Sans" w:cs="Noto Sans"/>
        </w:rPr>
      </w:pPr>
    </w:p>
    <w:p w14:paraId="33B6A2C3" w14:textId="77777777" w:rsidR="00CA38EE" w:rsidRDefault="00994EE6">
      <w:pPr>
        <w:pStyle w:val="Textoindependiente"/>
        <w:spacing w:after="240"/>
        <w:rPr>
          <w:rFonts w:ascii="Noto Sans" w:eastAsia="Noto Sans" w:hAnsi="Noto Sans" w:cs="Noto Sans"/>
          <w:b/>
          <w:bCs/>
          <w:lang w:val="es-ES"/>
        </w:rPr>
      </w:pPr>
      <w:r>
        <w:rPr>
          <w:rFonts w:ascii="Noto Sans" w:eastAsia="Noto Sans" w:hAnsi="Noto Sans" w:cs="Noto Sans"/>
          <w:b/>
          <w:bCs/>
          <w:lang w:val="es-ES"/>
        </w:rPr>
        <w:t>La nasa para langosta:</w:t>
      </w:r>
    </w:p>
    <w:p w14:paraId="008EEF02"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La nasa para langosta es un aparejo fijo de fondo que actúa como trampa para la captura de langostas. Se construyen con distintas formas geométricas, habitualmente en forma de jaula troncocónica con una abertura (afàs) que permite la entrada de las capturas al habitáculo interior. El afàs, de forma cónica, se sitúa en el extremo más ancho de la jaula.</w:t>
      </w:r>
      <w:r>
        <w:br/>
      </w:r>
      <w:r>
        <w:rPr>
          <w:rFonts w:ascii="Noto Sans" w:eastAsia="Noto Sans" w:hAnsi="Noto Sans" w:cs="Noto Sans"/>
          <w:lang w:val="es-ES"/>
        </w:rPr>
        <w:t>Las dimensiones máximas de las nasas langosteras serán de 90 cm de longitud y 60 cm de diámetro, y podrán estar hechas de malla plástica rígida, junco, caña o mimbre. En todo caso, deberán incorporar un elemento biodegradable que inutilice el arte en caso de permanecer largo tiempo en el mar.</w:t>
      </w:r>
    </w:p>
    <w:p w14:paraId="0673D3E1" w14:textId="77777777" w:rsidR="00CA38EE" w:rsidRDefault="00CA38EE">
      <w:pPr>
        <w:pStyle w:val="Textoindependiente"/>
        <w:spacing w:after="240"/>
        <w:rPr>
          <w:rFonts w:ascii="Noto Sans" w:eastAsia="Noto Sans" w:hAnsi="Noto Sans" w:cs="Noto Sans"/>
          <w:lang w:val="es-ES"/>
        </w:rPr>
      </w:pPr>
    </w:p>
    <w:p w14:paraId="4A490792" w14:textId="77777777" w:rsidR="00994EE6" w:rsidRDefault="00994EE6">
      <w:pPr>
        <w:pStyle w:val="Textoindependiente"/>
        <w:spacing w:after="240"/>
        <w:rPr>
          <w:rFonts w:ascii="Noto Sans" w:eastAsia="Noto Sans" w:hAnsi="Noto Sans" w:cs="Noto Sans"/>
          <w:lang w:val="es-ES"/>
        </w:rPr>
      </w:pPr>
    </w:p>
    <w:p w14:paraId="129C54ED" w14:textId="77777777" w:rsidR="00994EE6" w:rsidRDefault="00994EE6">
      <w:pPr>
        <w:pStyle w:val="Textoindependiente"/>
        <w:spacing w:after="240"/>
        <w:rPr>
          <w:rFonts w:ascii="Noto Sans" w:eastAsia="Noto Sans" w:hAnsi="Noto Sans" w:cs="Noto Sans"/>
          <w:lang w:val="es-ES"/>
        </w:rPr>
      </w:pPr>
    </w:p>
    <w:p w14:paraId="56A4074C" w14:textId="77777777" w:rsidR="00994EE6" w:rsidRDefault="00994EE6">
      <w:pPr>
        <w:pStyle w:val="Textoindependiente"/>
        <w:spacing w:after="240"/>
        <w:rPr>
          <w:rFonts w:ascii="Noto Sans" w:eastAsia="Noto Sans" w:hAnsi="Noto Sans" w:cs="Noto Sans"/>
          <w:lang w:val="es-ES"/>
        </w:rPr>
      </w:pPr>
    </w:p>
    <w:p w14:paraId="66E89EB0" w14:textId="77777777" w:rsidR="00994EE6" w:rsidRDefault="00994EE6">
      <w:pPr>
        <w:pStyle w:val="Textoindependiente"/>
        <w:spacing w:after="240"/>
        <w:rPr>
          <w:rFonts w:ascii="Noto Sans" w:eastAsia="Noto Sans" w:hAnsi="Noto Sans" w:cs="Noto Sans"/>
          <w:lang w:val="es-ES"/>
        </w:rPr>
      </w:pPr>
    </w:p>
    <w:p w14:paraId="24942267" w14:textId="77777777" w:rsidR="00CA38EE" w:rsidRDefault="00994EE6">
      <w:pPr>
        <w:pStyle w:val="Textoindependiente"/>
        <w:spacing w:after="240"/>
        <w:jc w:val="center"/>
        <w:rPr>
          <w:rFonts w:ascii="Noto Sans" w:eastAsia="Noto Sans" w:hAnsi="Noto Sans" w:cs="Noto Sans"/>
          <w:lang w:val="es-ES"/>
        </w:rPr>
      </w:pPr>
      <w:r>
        <w:rPr>
          <w:rFonts w:ascii="Noto Sans" w:eastAsia="Noto Sans" w:hAnsi="Noto Sans" w:cs="Noto Sans"/>
          <w:b/>
          <w:bCs/>
          <w:lang w:val="es-ES"/>
        </w:rPr>
        <w:lastRenderedPageBreak/>
        <w:t>ANEXO 3</w:t>
      </w:r>
    </w:p>
    <w:p w14:paraId="61F88937" w14:textId="77777777"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lang w:val="es-ES"/>
        </w:rPr>
        <w:t>Listado de puntos tradicionales de calado de artes de parada en el ámbito del Plan de Gestión para la pesca profesional en las aguas interiores de las bahías de Pollença y Alcúdia.</w:t>
      </w:r>
    </w:p>
    <w:tbl>
      <w:tblPr>
        <w:tblW w:w="9912" w:type="dxa"/>
        <w:tblInd w:w="-272" w:type="dxa"/>
        <w:tblLayout w:type="fixed"/>
        <w:tblCellMar>
          <w:left w:w="7" w:type="dxa"/>
          <w:right w:w="15" w:type="dxa"/>
        </w:tblCellMar>
        <w:tblLook w:val="04A0" w:firstRow="1" w:lastRow="0" w:firstColumn="1" w:lastColumn="0" w:noHBand="0" w:noVBand="1"/>
      </w:tblPr>
      <w:tblGrid>
        <w:gridCol w:w="1122"/>
        <w:gridCol w:w="81"/>
        <w:gridCol w:w="1811"/>
        <w:gridCol w:w="1161"/>
        <w:gridCol w:w="1346"/>
        <w:gridCol w:w="46"/>
        <w:gridCol w:w="64"/>
        <w:gridCol w:w="1040"/>
        <w:gridCol w:w="992"/>
        <w:gridCol w:w="1127"/>
        <w:gridCol w:w="1122"/>
      </w:tblGrid>
      <w:tr w:rsidR="00CA38EE" w14:paraId="2CD505A6" w14:textId="77777777">
        <w:trPr>
          <w:trHeight w:val="510"/>
        </w:trPr>
        <w:tc>
          <w:tcPr>
            <w:tcW w:w="1121"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16B4DB96"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Confradía</w:t>
            </w:r>
          </w:p>
        </w:tc>
        <w:tc>
          <w:tcPr>
            <w:tcW w:w="1891"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3358C822" w14:textId="77777777" w:rsidR="00CA38EE" w:rsidRDefault="00994EE6">
            <w:pPr>
              <w:pStyle w:val="TableParagraph"/>
              <w:spacing w:before="0" w:line="276" w:lineRule="auto"/>
              <w:ind w:left="50" w:right="77"/>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Denominación del punto</w:t>
            </w:r>
            <w:r>
              <w:rPr>
                <w:rStyle w:val="Lletraperdefectedelpargraf"/>
                <w:rFonts w:ascii="Noto Sans" w:hAnsi="Noto Sans" w:cs="Calibri Light"/>
                <w:b/>
                <w:bCs/>
                <w:color w:val="70AD47" w:themeColor="accent6"/>
                <w:spacing w:val="-36"/>
                <w:lang w:val="es-ES"/>
              </w:rPr>
              <w:t xml:space="preserve"> </w:t>
            </w:r>
            <w:r>
              <w:rPr>
                <w:rStyle w:val="Lletraperdefectedelpargraf"/>
                <w:rFonts w:ascii="Noto Sans" w:hAnsi="Noto Sans" w:cs="Calibri Light"/>
                <w:b/>
                <w:bCs/>
                <w:color w:val="70AD47" w:themeColor="accent6"/>
                <w:lang w:val="es-ES"/>
              </w:rPr>
              <w:t>de</w:t>
            </w:r>
            <w:r>
              <w:rPr>
                <w:rStyle w:val="Lletraperdefectedelpargraf"/>
                <w:rFonts w:ascii="Noto Sans" w:hAnsi="Noto Sans" w:cs="Calibri Light"/>
                <w:b/>
                <w:bCs/>
                <w:color w:val="70AD47" w:themeColor="accent6"/>
                <w:spacing w:val="-2"/>
                <w:lang w:val="es-ES"/>
              </w:rPr>
              <w:t xml:space="preserve"> </w:t>
            </w:r>
            <w:r>
              <w:rPr>
                <w:rStyle w:val="Lletraperdefectedelpargraf"/>
                <w:rFonts w:ascii="Noto Sans" w:hAnsi="Noto Sans" w:cs="Calibri Light"/>
                <w:b/>
                <w:bCs/>
                <w:color w:val="70AD47" w:themeColor="accent6"/>
                <w:lang w:val="es-ES"/>
              </w:rPr>
              <w:t>pesca</w:t>
            </w:r>
          </w:p>
        </w:tc>
        <w:tc>
          <w:tcPr>
            <w:tcW w:w="1161"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7002947E"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2E07A54E"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392"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765D5ACE" w14:textId="77777777" w:rsidR="00CA38EE" w:rsidRDefault="00994EE6">
            <w:pPr>
              <w:pStyle w:val="TableParagraph"/>
              <w:spacing w:before="0" w:line="276" w:lineRule="auto"/>
              <w:ind w:left="-60"/>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767176E3" w14:textId="77777777" w:rsidR="00CA38EE" w:rsidRDefault="00994EE6">
            <w:pPr>
              <w:pStyle w:val="TableParagraph"/>
              <w:spacing w:before="0" w:line="276" w:lineRule="auto"/>
              <w:ind w:left="-60"/>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E</w:t>
            </w:r>
          </w:p>
        </w:tc>
        <w:tc>
          <w:tcPr>
            <w:tcW w:w="1104"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79EACB96"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N</w:t>
            </w:r>
          </w:p>
        </w:tc>
        <w:tc>
          <w:tcPr>
            <w:tcW w:w="99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3F9133B3"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E</w:t>
            </w:r>
          </w:p>
        </w:tc>
        <w:tc>
          <w:tcPr>
            <w:tcW w:w="112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40793DC2"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p>
          <w:p w14:paraId="06430C41"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12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539C5BF"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p>
          <w:p w14:paraId="246409B4"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E</w:t>
            </w:r>
          </w:p>
        </w:tc>
      </w:tr>
      <w:tr w:rsidR="00CA38EE" w14:paraId="080B57DD" w14:textId="77777777">
        <w:trPr>
          <w:trHeight w:val="413"/>
        </w:trPr>
        <w:tc>
          <w:tcPr>
            <w:tcW w:w="1121" w:type="dxa"/>
            <w:tcBorders>
              <w:top w:val="single" w:sz="12" w:space="0" w:color="B2B2B2"/>
              <w:left w:val="single" w:sz="6" w:space="0" w:color="B2B2B2"/>
              <w:bottom w:val="single" w:sz="12" w:space="0" w:color="B2B2B2"/>
              <w:right w:val="single" w:sz="12" w:space="0" w:color="B2B2B2"/>
            </w:tcBorders>
            <w:vAlign w:val="center"/>
          </w:tcPr>
          <w:p w14:paraId="0346812F"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42D68D50" w14:textId="77777777" w:rsidR="00CA38EE" w:rsidRDefault="00994EE6">
            <w:pPr>
              <w:pStyle w:val="TableParagraph"/>
              <w:spacing w:before="0" w:line="276" w:lineRule="auto"/>
              <w:ind w:right="2"/>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CAP DE PINAR</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3BF81A78"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53.384'</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381C475C"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12.247'</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2FEA5F20"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39º53.386’</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4D502C23"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3º12.204’</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17BA0891"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39º53.344’</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56E771F3" w14:textId="77777777" w:rsidR="00CA38EE" w:rsidRDefault="00994EE6">
            <w:pPr>
              <w:pStyle w:val="TableParagraph"/>
              <w:spacing w:before="0" w:line="276" w:lineRule="auto"/>
              <w:ind w:right="1"/>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3º12.240’</w:t>
            </w:r>
          </w:p>
        </w:tc>
      </w:tr>
      <w:tr w:rsidR="00CA38EE" w14:paraId="6FE462DA"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363671EF"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61BD9D96"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EL CASTELLET</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4253736F"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56.260'</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16805167"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10.929'</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53BF9B5B"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39º56.254’</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78B7E213"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3º10.975’</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4168E1F2"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39º56.236’</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6FB0E23E"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3º10.951’</w:t>
            </w:r>
          </w:p>
        </w:tc>
      </w:tr>
      <w:tr w:rsidR="00CA38EE" w14:paraId="31427421" w14:textId="77777777">
        <w:trPr>
          <w:trHeight w:val="396"/>
        </w:trPr>
        <w:tc>
          <w:tcPr>
            <w:tcW w:w="1121" w:type="dxa"/>
            <w:tcBorders>
              <w:top w:val="single" w:sz="12" w:space="0" w:color="B2B2B2"/>
              <w:left w:val="single" w:sz="6" w:space="0" w:color="B2B2B2"/>
              <w:bottom w:val="single" w:sz="12" w:space="0" w:color="B2B2B2"/>
              <w:right w:val="single" w:sz="12" w:space="0" w:color="B2B2B2"/>
            </w:tcBorders>
            <w:vAlign w:val="center"/>
          </w:tcPr>
          <w:p w14:paraId="27B128A1"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52705D76"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EL CALÓ</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3BBE61D1"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54.655'</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11BB62A0"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06.747'</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5CC3437A"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39º54.637’</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4A0097BB"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3º06.860’</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13C9B6CE"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39º54.594’</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3C76B675"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3º06.794’</w:t>
            </w:r>
          </w:p>
        </w:tc>
      </w:tr>
      <w:tr w:rsidR="00CA38EE" w14:paraId="40A2EE06" w14:textId="77777777">
        <w:trPr>
          <w:trHeight w:val="403"/>
        </w:trPr>
        <w:tc>
          <w:tcPr>
            <w:tcW w:w="1121" w:type="dxa"/>
            <w:tcBorders>
              <w:top w:val="single" w:sz="12" w:space="0" w:color="B2B2B2"/>
              <w:left w:val="single" w:sz="6" w:space="0" w:color="B2B2B2"/>
              <w:bottom w:val="single" w:sz="12" w:space="0" w:color="B2B2B2"/>
              <w:right w:val="single" w:sz="12" w:space="0" w:color="B2B2B2"/>
            </w:tcBorders>
            <w:vAlign w:val="center"/>
          </w:tcPr>
          <w:p w14:paraId="5D6DF6B8"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5E9EDDCA"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CAP GROS</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0FAF6C45"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52.671'</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57D95D65"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10.040'</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48E0CCB9"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39º52.764’</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731AB7A9"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3º10.113’</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6304C228"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39º52.721’</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48996ACC"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3º09.954’</w:t>
            </w:r>
          </w:p>
        </w:tc>
      </w:tr>
      <w:tr w:rsidR="00CA38EE" w14:paraId="6CCDE901" w14:textId="77777777">
        <w:trPr>
          <w:trHeight w:val="381"/>
        </w:trPr>
        <w:tc>
          <w:tcPr>
            <w:tcW w:w="1121" w:type="dxa"/>
            <w:tcBorders>
              <w:top w:val="single" w:sz="12" w:space="0" w:color="B2B2B2"/>
              <w:left w:val="single" w:sz="6" w:space="0" w:color="B2B2B2"/>
              <w:bottom w:val="single" w:sz="12" w:space="0" w:color="B2B2B2"/>
              <w:right w:val="single" w:sz="12" w:space="0" w:color="B2B2B2"/>
            </w:tcBorders>
            <w:vAlign w:val="center"/>
          </w:tcPr>
          <w:p w14:paraId="459234D2"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1501318F"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EL CELLER</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69D7098C"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55.391'</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79962E73"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09.306'</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1180F5E1"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39º55.395’</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1B657535"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3º09.353’</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1E4E3C23"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39º55.368’</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3A65C1F0"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3º09.298’</w:t>
            </w:r>
          </w:p>
        </w:tc>
      </w:tr>
      <w:tr w:rsidR="00CA38EE" w14:paraId="434970A0" w14:textId="77777777">
        <w:trPr>
          <w:trHeight w:val="266"/>
        </w:trPr>
        <w:tc>
          <w:tcPr>
            <w:tcW w:w="1121" w:type="dxa"/>
            <w:tcBorders>
              <w:top w:val="single" w:sz="12" w:space="0" w:color="B2B2B2"/>
              <w:left w:val="single" w:sz="6" w:space="0" w:color="B2B2B2"/>
              <w:bottom w:val="single" w:sz="12" w:space="0" w:color="B2B2B2"/>
              <w:right w:val="single" w:sz="12" w:space="0" w:color="B2B2B2"/>
            </w:tcBorders>
            <w:vAlign w:val="center"/>
          </w:tcPr>
          <w:p w14:paraId="3270BCE1"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2A0AE4C6"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ILLA DE FORMENTOR</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7EF73C05"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55.215'</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6DC67F94"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08.724'</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73194307"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39º55.171’</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2B2D63E6"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3º08.757’</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75E27E1"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39º55.234’</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422C947E"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3º08.650’</w:t>
            </w:r>
          </w:p>
        </w:tc>
      </w:tr>
      <w:tr w:rsidR="00CA38EE" w14:paraId="4DEF2D9C" w14:textId="77777777">
        <w:trPr>
          <w:trHeight w:val="266"/>
        </w:trPr>
        <w:tc>
          <w:tcPr>
            <w:tcW w:w="1121" w:type="dxa"/>
            <w:tcBorders>
              <w:top w:val="single" w:sz="12" w:space="0" w:color="B2B2B2"/>
              <w:left w:val="single" w:sz="6" w:space="0" w:color="B2B2B2"/>
              <w:bottom w:val="single" w:sz="12" w:space="0" w:color="B2B2B2"/>
              <w:right w:val="single" w:sz="12" w:space="0" w:color="B2B2B2"/>
            </w:tcBorders>
            <w:vAlign w:val="center"/>
          </w:tcPr>
          <w:p w14:paraId="73729592"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0DE0EE04"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MORRO DEL PONT</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0917B931"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56.407'</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6E2846F1"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11.498'</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1A3689F5"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39º56.137’</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39573FF7"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3º11.505’</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633DB6E7"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39º56.400’</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519EA365"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3º11.538’</w:t>
            </w:r>
          </w:p>
        </w:tc>
      </w:tr>
      <w:tr w:rsidR="00CA38EE" w14:paraId="4CB0A4FC" w14:textId="77777777">
        <w:trPr>
          <w:trHeight w:val="266"/>
        </w:trPr>
        <w:tc>
          <w:tcPr>
            <w:tcW w:w="1121" w:type="dxa"/>
            <w:tcBorders>
              <w:top w:val="single" w:sz="12" w:space="0" w:color="B2B2B2"/>
              <w:left w:val="single" w:sz="6" w:space="0" w:color="B2B2B2"/>
              <w:bottom w:val="single" w:sz="12" w:space="0" w:color="B2B2B2"/>
              <w:right w:val="single" w:sz="12" w:space="0" w:color="B2B2B2"/>
            </w:tcBorders>
            <w:vAlign w:val="center"/>
          </w:tcPr>
          <w:p w14:paraId="6BB5A44B"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326CBD4B"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PUNTA DE LA MONEIA</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10A6BD64"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39</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55.125'</w:t>
            </w:r>
          </w:p>
        </w:tc>
        <w:tc>
          <w:tcPr>
            <w:tcW w:w="1392" w:type="dxa"/>
            <w:gridSpan w:val="2"/>
            <w:tcBorders>
              <w:top w:val="single" w:sz="12" w:space="0" w:color="B2B2B2"/>
              <w:left w:val="single" w:sz="12" w:space="0" w:color="B2B2B2"/>
              <w:bottom w:val="single" w:sz="12" w:space="0" w:color="B2B2B2"/>
              <w:right w:val="single" w:sz="12" w:space="0" w:color="B2B2B2"/>
            </w:tcBorders>
            <w:vAlign w:val="center"/>
          </w:tcPr>
          <w:p w14:paraId="67BC6251"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0"/>
                <w:szCs w:val="20"/>
                <w:lang w:val="es-ES"/>
              </w:rPr>
            </w:pPr>
            <w:r>
              <w:rPr>
                <w:rStyle w:val="Lletraperdefectedelpargraf"/>
                <w:rFonts w:ascii="Noto Sans" w:eastAsia="Times New Roman" w:hAnsi="Noto Sans" w:cs="Calibri Light"/>
                <w:color w:val="70AD47" w:themeColor="accent6"/>
                <w:kern w:val="0"/>
                <w:sz w:val="20"/>
                <w:szCs w:val="20"/>
                <w:lang w:val="es-ES"/>
              </w:rPr>
              <w:t>3</w:t>
            </w:r>
            <w:r>
              <w:rPr>
                <w:rStyle w:val="Lletraperdefectedelpargraf"/>
                <w:rFonts w:ascii="Noto Sans" w:eastAsia="Symbol" w:hAnsi="Noto Sans" w:cs="Symbol"/>
                <w:color w:val="70AD47" w:themeColor="accent6"/>
                <w:kern w:val="0"/>
                <w:sz w:val="20"/>
                <w:szCs w:val="20"/>
                <w:lang w:val="es-ES"/>
              </w:rPr>
              <w:t>º</w:t>
            </w:r>
            <w:r>
              <w:rPr>
                <w:rStyle w:val="Lletraperdefectedelpargraf"/>
                <w:rFonts w:ascii="Noto Sans" w:eastAsia="Times New Roman" w:hAnsi="Noto Sans" w:cs="Calibri Light"/>
                <w:color w:val="70AD47" w:themeColor="accent6"/>
                <w:kern w:val="0"/>
                <w:sz w:val="20"/>
                <w:szCs w:val="20"/>
                <w:lang w:val="es-ES"/>
              </w:rPr>
              <w:t>07.749'</w:t>
            </w:r>
          </w:p>
        </w:tc>
        <w:tc>
          <w:tcPr>
            <w:tcW w:w="1104" w:type="dxa"/>
            <w:gridSpan w:val="2"/>
            <w:tcBorders>
              <w:top w:val="single" w:sz="12" w:space="0" w:color="B2B2B2"/>
              <w:left w:val="single" w:sz="12" w:space="0" w:color="B2B2B2"/>
              <w:bottom w:val="single" w:sz="12" w:space="0" w:color="B2B2B2"/>
              <w:right w:val="single" w:sz="12" w:space="0" w:color="B2B2B2"/>
            </w:tcBorders>
            <w:vAlign w:val="center"/>
          </w:tcPr>
          <w:p w14:paraId="4114B815"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39º55.141’</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52E6E4BB"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3º07.771’</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7EE1B15F"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39º55.097’</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335E88BE" w14:textId="77777777" w:rsidR="00CA38EE" w:rsidRDefault="00994EE6">
            <w:pPr>
              <w:pStyle w:val="TableParagraph"/>
              <w:spacing w:before="0" w:line="276" w:lineRule="auto"/>
              <w:jc w:val="center"/>
              <w:rPr>
                <w:rFonts w:ascii="Noto Sans" w:hAnsi="Noto Sans" w:cs="Calibri Light"/>
                <w:color w:val="70AD47" w:themeColor="accent6"/>
                <w:lang w:val="es-ES"/>
              </w:rPr>
            </w:pPr>
            <w:r>
              <w:rPr>
                <w:rFonts w:ascii="Noto Sans" w:hAnsi="Noto Sans" w:cs="Calibri Light"/>
                <w:color w:val="70AD47" w:themeColor="accent6"/>
                <w:lang w:val="es-ES"/>
              </w:rPr>
              <w:t>3º07.767’</w:t>
            </w:r>
          </w:p>
        </w:tc>
      </w:tr>
      <w:tr w:rsidR="00CA38EE" w14:paraId="2F0AD98F" w14:textId="77777777">
        <w:trPr>
          <w:trHeight w:val="510"/>
        </w:trPr>
        <w:tc>
          <w:tcPr>
            <w:tcW w:w="1121"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2FB627B9"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Confradía</w:t>
            </w:r>
          </w:p>
        </w:tc>
        <w:tc>
          <w:tcPr>
            <w:tcW w:w="1891" w:type="dxa"/>
            <w:gridSpan w:val="2"/>
            <w:tcBorders>
              <w:top w:val="single" w:sz="6" w:space="0" w:color="B2B2B2"/>
              <w:left w:val="single" w:sz="12" w:space="0" w:color="B2B2B2"/>
              <w:bottom w:val="single" w:sz="12" w:space="0" w:color="B2B2B2"/>
              <w:right w:val="single" w:sz="12" w:space="0" w:color="B2B2B2"/>
            </w:tcBorders>
            <w:shd w:val="clear" w:color="auto" w:fill="C5EECD"/>
            <w:vAlign w:val="center"/>
          </w:tcPr>
          <w:p w14:paraId="7A1EA551" w14:textId="77777777" w:rsidR="00CA38EE" w:rsidRDefault="00994EE6">
            <w:pPr>
              <w:pStyle w:val="TableParagraph"/>
              <w:spacing w:before="0" w:line="276" w:lineRule="auto"/>
              <w:ind w:left="50" w:right="77"/>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Denominación del punto</w:t>
            </w:r>
            <w:r>
              <w:rPr>
                <w:rStyle w:val="Lletraperdefectedelpargraf"/>
                <w:rFonts w:ascii="Noto Sans" w:hAnsi="Noto Sans" w:cs="Calibri Light"/>
                <w:b/>
                <w:bCs/>
                <w:color w:val="70AD47" w:themeColor="accent6"/>
                <w:spacing w:val="-36"/>
                <w:lang w:val="es-ES"/>
              </w:rPr>
              <w:t xml:space="preserve"> </w:t>
            </w:r>
            <w:r>
              <w:rPr>
                <w:rStyle w:val="Lletraperdefectedelpargraf"/>
                <w:rFonts w:ascii="Noto Sans" w:hAnsi="Noto Sans" w:cs="Calibri Light"/>
                <w:b/>
                <w:bCs/>
                <w:color w:val="70AD47" w:themeColor="accent6"/>
                <w:lang w:val="es-ES"/>
              </w:rPr>
              <w:t>de</w:t>
            </w:r>
            <w:r>
              <w:rPr>
                <w:rStyle w:val="Lletraperdefectedelpargraf"/>
                <w:rFonts w:ascii="Noto Sans" w:hAnsi="Noto Sans" w:cs="Calibri Light"/>
                <w:b/>
                <w:bCs/>
                <w:color w:val="70AD47" w:themeColor="accent6"/>
                <w:spacing w:val="-2"/>
                <w:lang w:val="es-ES"/>
              </w:rPr>
              <w:t xml:space="preserve"> </w:t>
            </w:r>
            <w:r>
              <w:rPr>
                <w:rStyle w:val="Lletraperdefectedelpargraf"/>
                <w:rFonts w:ascii="Noto Sans" w:hAnsi="Noto Sans" w:cs="Calibri Light"/>
                <w:b/>
                <w:bCs/>
                <w:color w:val="70AD47" w:themeColor="accent6"/>
                <w:lang w:val="es-ES"/>
              </w:rPr>
              <w:t>pesca</w:t>
            </w:r>
          </w:p>
        </w:tc>
        <w:tc>
          <w:tcPr>
            <w:tcW w:w="1161"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04B90EB6"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4A762060"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346"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30C4EEEC" w14:textId="77777777" w:rsidR="00CA38EE" w:rsidRDefault="00994EE6">
            <w:pPr>
              <w:pStyle w:val="TableParagraph"/>
              <w:spacing w:before="0" w:line="276" w:lineRule="auto"/>
              <w:ind w:left="-60"/>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0E0EAABB" w14:textId="77777777" w:rsidR="00CA38EE" w:rsidRDefault="00994EE6">
            <w:pPr>
              <w:pStyle w:val="TableParagraph"/>
              <w:spacing w:before="0" w:line="276" w:lineRule="auto"/>
              <w:ind w:left="-60"/>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E</w:t>
            </w:r>
          </w:p>
        </w:tc>
        <w:tc>
          <w:tcPr>
            <w:tcW w:w="1150" w:type="dxa"/>
            <w:gridSpan w:val="3"/>
            <w:tcBorders>
              <w:top w:val="single" w:sz="6" w:space="0" w:color="B2B2B2"/>
              <w:left w:val="single" w:sz="12" w:space="0" w:color="B2B2B2"/>
              <w:bottom w:val="single" w:sz="12" w:space="0" w:color="B2B2B2"/>
              <w:right w:val="single" w:sz="12" w:space="0" w:color="B2B2B2"/>
            </w:tcBorders>
            <w:shd w:val="clear" w:color="auto" w:fill="C5EECD"/>
            <w:vAlign w:val="center"/>
          </w:tcPr>
          <w:p w14:paraId="63B876FD"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p>
          <w:p w14:paraId="36B9A473"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99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0AE68FC5"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E</w:t>
            </w:r>
          </w:p>
        </w:tc>
        <w:tc>
          <w:tcPr>
            <w:tcW w:w="112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4A2630B0"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p>
          <w:p w14:paraId="3626ABA7"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12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0493E5BC"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p>
          <w:p w14:paraId="38E11C63"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E</w:t>
            </w:r>
          </w:p>
        </w:tc>
      </w:tr>
      <w:tr w:rsidR="00CA38EE" w14:paraId="0F860201" w14:textId="77777777">
        <w:trPr>
          <w:trHeight w:val="413"/>
        </w:trPr>
        <w:tc>
          <w:tcPr>
            <w:tcW w:w="1121" w:type="dxa"/>
            <w:tcBorders>
              <w:top w:val="single" w:sz="12" w:space="0" w:color="B2B2B2"/>
              <w:left w:val="single" w:sz="6" w:space="0" w:color="B2B2B2"/>
              <w:bottom w:val="single" w:sz="12" w:space="0" w:color="B2B2B2"/>
              <w:right w:val="single" w:sz="12" w:space="0" w:color="B2B2B2"/>
            </w:tcBorders>
            <w:vAlign w:val="center"/>
          </w:tcPr>
          <w:p w14:paraId="4E490363"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Alcúdia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6213CEE5"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FERRUTX</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2CF5108B"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eastAsia="Times New Roman" w:hAnsi="Noto Sans" w:cs="Calibri Light"/>
                <w:color w:val="70AD47" w:themeColor="accent6"/>
                <w:kern w:val="0"/>
                <w:sz w:val="22"/>
                <w:lang w:val="es-ES"/>
              </w:rPr>
              <w:t>46.769’</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508866CF"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3º20.070’</w:t>
            </w:r>
          </w:p>
        </w:tc>
        <w:tc>
          <w:tcPr>
            <w:tcW w:w="1150" w:type="dxa"/>
            <w:gridSpan w:val="3"/>
            <w:tcBorders>
              <w:top w:val="single" w:sz="12" w:space="0" w:color="B2B2B2"/>
              <w:left w:val="single" w:sz="12" w:space="0" w:color="B2B2B2"/>
              <w:bottom w:val="single" w:sz="12" w:space="0" w:color="B2B2B2"/>
              <w:right w:val="single" w:sz="12" w:space="0" w:color="B2B2B2"/>
            </w:tcBorders>
            <w:vAlign w:val="center"/>
          </w:tcPr>
          <w:p w14:paraId="1BDCE386"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39°47.069’</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04115ABC"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3°19.770’</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28D2839D"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39°46.469’</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2F0FE30C" w14:textId="77777777" w:rsidR="00CA38EE" w:rsidRDefault="00994EE6">
            <w:pPr>
              <w:pStyle w:val="TableParagraph"/>
              <w:spacing w:before="0" w:line="276" w:lineRule="auto"/>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3°19.770’</w:t>
            </w:r>
          </w:p>
        </w:tc>
      </w:tr>
      <w:tr w:rsidR="00CA38EE" w14:paraId="561D30E9" w14:textId="77777777">
        <w:trPr>
          <w:trHeight w:val="425"/>
        </w:trPr>
        <w:tc>
          <w:tcPr>
            <w:tcW w:w="1121" w:type="dxa"/>
            <w:tcBorders>
              <w:top w:val="single" w:sz="12" w:space="0" w:color="B2B2B2"/>
              <w:left w:val="single" w:sz="6" w:space="0" w:color="B2B2B2"/>
              <w:bottom w:val="single" w:sz="12" w:space="0" w:color="B2B2B2"/>
              <w:right w:val="single" w:sz="12" w:space="0" w:color="B2B2B2"/>
            </w:tcBorders>
            <w:vAlign w:val="center"/>
          </w:tcPr>
          <w:p w14:paraId="23078E26"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Alcúdia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73E4FA9A"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SOLANA COLL BAIX</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326EEBFE" w14:textId="77777777" w:rsidR="00CA38EE" w:rsidRDefault="00994EE6">
            <w:pPr>
              <w:pStyle w:val="LO-Normal"/>
              <w:widowControl w:val="0"/>
              <w:spacing w:after="0" w:line="276" w:lineRule="auto"/>
              <w:jc w:val="center"/>
              <w:rPr>
                <w:rStyle w:val="Lletraperdefectedelpargraf"/>
                <w:rFonts w:ascii="Noto Sans"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hAnsi="Noto Sans" w:cs="Calibri Light"/>
                <w:color w:val="70AD47" w:themeColor="accent6"/>
                <w:kern w:val="0"/>
                <w:sz w:val="22"/>
                <w:lang w:val="es-ES"/>
              </w:rPr>
              <w:t>52.645’</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64604776"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3º11.429’</w:t>
            </w:r>
          </w:p>
        </w:tc>
        <w:tc>
          <w:tcPr>
            <w:tcW w:w="1150" w:type="dxa"/>
            <w:gridSpan w:val="3"/>
            <w:tcBorders>
              <w:top w:val="single" w:sz="12" w:space="0" w:color="B2B2B2"/>
              <w:left w:val="single" w:sz="12" w:space="0" w:color="B2B2B2"/>
              <w:bottom w:val="single" w:sz="12" w:space="0" w:color="B2B2B2"/>
              <w:right w:val="single" w:sz="12" w:space="0" w:color="B2B2B2"/>
            </w:tcBorders>
            <w:vAlign w:val="center"/>
          </w:tcPr>
          <w:p w14:paraId="5CA2720D"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39°53.145’</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5EFE440C"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3°11.929’</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5B856CB4"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39°52.145’</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28A82842"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3°11.929’</w:t>
            </w:r>
          </w:p>
        </w:tc>
      </w:tr>
      <w:tr w:rsidR="00CA38EE" w14:paraId="6D0CAB16"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38EA38AE"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Alcúdia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0C8D437B"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CAP PINAR</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2262781D" w14:textId="77777777" w:rsidR="00CA38EE" w:rsidRDefault="00994EE6">
            <w:pPr>
              <w:pStyle w:val="LO-Normal"/>
              <w:widowControl w:val="0"/>
              <w:spacing w:after="0" w:line="276" w:lineRule="auto"/>
              <w:jc w:val="center"/>
              <w:rPr>
                <w:rStyle w:val="Lletraperdefectedelpargraf"/>
                <w:rFonts w:ascii="Noto Sans"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hAnsi="Noto Sans" w:cs="Calibri Light"/>
                <w:color w:val="70AD47" w:themeColor="accent6"/>
                <w:kern w:val="0"/>
                <w:sz w:val="22"/>
                <w:lang w:val="es-ES"/>
              </w:rPr>
              <w:t>53.283’</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36A6AD61"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3º12.213’</w:t>
            </w:r>
          </w:p>
        </w:tc>
        <w:tc>
          <w:tcPr>
            <w:tcW w:w="1150" w:type="dxa"/>
            <w:gridSpan w:val="3"/>
            <w:tcBorders>
              <w:top w:val="single" w:sz="12" w:space="0" w:color="B2B2B2"/>
              <w:left w:val="single" w:sz="12" w:space="0" w:color="B2B2B2"/>
              <w:bottom w:val="single" w:sz="12" w:space="0" w:color="B2B2B2"/>
              <w:right w:val="single" w:sz="12" w:space="0" w:color="B2B2B2"/>
            </w:tcBorders>
            <w:vAlign w:val="center"/>
          </w:tcPr>
          <w:p w14:paraId="33562899"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39º53.386’</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0B603E91"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3º12.204’</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064CF102"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39º53.344’</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50C69345"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3º12.240’</w:t>
            </w:r>
          </w:p>
        </w:tc>
      </w:tr>
      <w:tr w:rsidR="00CA38EE" w14:paraId="765FD452"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1A0C4FD9"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Alcúdia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655FFE30"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CAP MENORCA</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2EA766C8" w14:textId="77777777" w:rsidR="00CA38EE" w:rsidRDefault="00994EE6">
            <w:pPr>
              <w:pStyle w:val="LO-Normal"/>
              <w:widowControl w:val="0"/>
              <w:spacing w:after="0" w:line="276" w:lineRule="auto"/>
              <w:jc w:val="center"/>
              <w:rPr>
                <w:rStyle w:val="Lletraperdefectedelpargraf"/>
                <w:rFonts w:ascii="Noto Sans"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hAnsi="Noto Sans" w:cs="Calibri Light"/>
                <w:color w:val="70AD47" w:themeColor="accent6"/>
                <w:kern w:val="0"/>
                <w:sz w:val="22"/>
                <w:lang w:val="es-ES"/>
              </w:rPr>
              <w:t>51.763’</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671EDD59"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3º11.821’</w:t>
            </w:r>
          </w:p>
        </w:tc>
        <w:tc>
          <w:tcPr>
            <w:tcW w:w="1150" w:type="dxa"/>
            <w:gridSpan w:val="3"/>
            <w:tcBorders>
              <w:top w:val="single" w:sz="12" w:space="0" w:color="B2B2B2"/>
              <w:left w:val="single" w:sz="12" w:space="0" w:color="B2B2B2"/>
              <w:bottom w:val="single" w:sz="12" w:space="0" w:color="B2B2B2"/>
              <w:right w:val="single" w:sz="12" w:space="0" w:color="B2B2B2"/>
            </w:tcBorders>
            <w:vAlign w:val="center"/>
          </w:tcPr>
          <w:p w14:paraId="261E7F3E"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39°52.763’</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7B04342D"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3°11.321’</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6B52AD90"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39°52.763’</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5DD95A08"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3°12.321’</w:t>
            </w:r>
          </w:p>
        </w:tc>
      </w:tr>
      <w:tr w:rsidR="00CA38EE" w14:paraId="09FA42B5"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556151D0"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Alcúdia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118C7481"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ILLA DELS PORROS</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545E2778" w14:textId="77777777" w:rsidR="00CA38EE" w:rsidRDefault="00994EE6">
            <w:pPr>
              <w:pStyle w:val="LO-Normal"/>
              <w:widowControl w:val="0"/>
              <w:spacing w:after="0" w:line="276" w:lineRule="auto"/>
              <w:jc w:val="center"/>
              <w:rPr>
                <w:rStyle w:val="Lletraperdefectedelpargraf"/>
                <w:rFonts w:ascii="Noto Sans"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hAnsi="Noto Sans" w:cs="Calibri Light"/>
                <w:color w:val="70AD47" w:themeColor="accent6"/>
                <w:kern w:val="0"/>
                <w:sz w:val="22"/>
                <w:lang w:val="es-ES"/>
              </w:rPr>
              <w:t>45.301’</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3B1CFFAF"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3º11.296’</w:t>
            </w:r>
          </w:p>
        </w:tc>
        <w:tc>
          <w:tcPr>
            <w:tcW w:w="1150" w:type="dxa"/>
            <w:gridSpan w:val="3"/>
            <w:tcBorders>
              <w:top w:val="single" w:sz="12" w:space="0" w:color="B2B2B2"/>
              <w:left w:val="single" w:sz="12" w:space="0" w:color="B2B2B2"/>
              <w:bottom w:val="single" w:sz="12" w:space="0" w:color="B2B2B2"/>
              <w:right w:val="single" w:sz="12" w:space="0" w:color="B2B2B2"/>
            </w:tcBorders>
            <w:vAlign w:val="center"/>
          </w:tcPr>
          <w:p w14:paraId="6289B54A"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39°45.801’</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57FCB41E"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3°10.796’</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1496D3BE"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39°45.801’</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7945E8A0"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3°11.796’</w:t>
            </w:r>
          </w:p>
        </w:tc>
      </w:tr>
      <w:tr w:rsidR="00CA38EE" w14:paraId="27E5E659" w14:textId="77777777">
        <w:trPr>
          <w:trHeight w:val="391"/>
        </w:trPr>
        <w:tc>
          <w:tcPr>
            <w:tcW w:w="1121" w:type="dxa"/>
            <w:tcBorders>
              <w:top w:val="single" w:sz="12" w:space="0" w:color="B2B2B2"/>
              <w:left w:val="single" w:sz="6" w:space="0" w:color="B2B2B2"/>
              <w:bottom w:val="single" w:sz="12" w:space="0" w:color="B2B2B2"/>
              <w:right w:val="single" w:sz="12" w:space="0" w:color="B2B2B2"/>
            </w:tcBorders>
            <w:vAlign w:val="center"/>
          </w:tcPr>
          <w:p w14:paraId="60DDC18A"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Alcúdia</w:t>
            </w:r>
          </w:p>
        </w:tc>
        <w:tc>
          <w:tcPr>
            <w:tcW w:w="1891" w:type="dxa"/>
            <w:gridSpan w:val="2"/>
            <w:tcBorders>
              <w:top w:val="single" w:sz="12" w:space="0" w:color="B2B2B2"/>
              <w:left w:val="single" w:sz="4" w:space="0" w:color="000000"/>
              <w:bottom w:val="single" w:sz="12" w:space="0" w:color="B2B2B2"/>
              <w:right w:val="single" w:sz="4" w:space="0" w:color="000000"/>
            </w:tcBorders>
            <w:vAlign w:val="center"/>
          </w:tcPr>
          <w:p w14:paraId="3656B648"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ES CALÓ FERRUTX</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379BB841" w14:textId="77777777" w:rsidR="00CA38EE" w:rsidRDefault="00994EE6">
            <w:pPr>
              <w:pStyle w:val="LO-Normal"/>
              <w:widowControl w:val="0"/>
              <w:spacing w:after="0" w:line="276" w:lineRule="auto"/>
              <w:jc w:val="center"/>
              <w:rPr>
                <w:rStyle w:val="Lletraperdefectedelpargraf"/>
                <w:rFonts w:ascii="Noto Sans"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hAnsi="Noto Sans" w:cs="Calibri Light"/>
                <w:color w:val="70AD47" w:themeColor="accent6"/>
                <w:kern w:val="0"/>
                <w:sz w:val="22"/>
                <w:lang w:val="es-ES"/>
              </w:rPr>
              <w:t>46.533’</w:t>
            </w:r>
          </w:p>
        </w:tc>
        <w:tc>
          <w:tcPr>
            <w:tcW w:w="1346" w:type="dxa"/>
            <w:tcBorders>
              <w:top w:val="single" w:sz="12" w:space="0" w:color="B2B2B2"/>
              <w:left w:val="single" w:sz="12" w:space="0" w:color="B2B2B2"/>
              <w:bottom w:val="single" w:sz="12" w:space="0" w:color="B2B2B2"/>
              <w:right w:val="single" w:sz="12" w:space="0" w:color="B2B2B2"/>
            </w:tcBorders>
            <w:vAlign w:val="center"/>
          </w:tcPr>
          <w:p w14:paraId="6BF8761E"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3º19.903’</w:t>
            </w:r>
          </w:p>
        </w:tc>
        <w:tc>
          <w:tcPr>
            <w:tcW w:w="1150" w:type="dxa"/>
            <w:gridSpan w:val="3"/>
            <w:tcBorders>
              <w:top w:val="single" w:sz="12" w:space="0" w:color="B2B2B2"/>
              <w:left w:val="single" w:sz="12" w:space="0" w:color="B2B2B2"/>
              <w:bottom w:val="single" w:sz="12" w:space="0" w:color="B2B2B2"/>
              <w:right w:val="single" w:sz="12" w:space="0" w:color="B2B2B2"/>
            </w:tcBorders>
            <w:vAlign w:val="center"/>
          </w:tcPr>
          <w:p w14:paraId="35D85B4E"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39°47.033’</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4833834C"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3°19.403’</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7B40CAC8"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39°46.033’</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7FB04221"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3°19.403’</w:t>
            </w:r>
          </w:p>
        </w:tc>
      </w:tr>
      <w:tr w:rsidR="00CA38EE" w14:paraId="25A2CDF8" w14:textId="77777777">
        <w:trPr>
          <w:trHeight w:val="510"/>
        </w:trPr>
        <w:tc>
          <w:tcPr>
            <w:tcW w:w="1201" w:type="dxa"/>
            <w:gridSpan w:val="2"/>
            <w:tcBorders>
              <w:top w:val="single" w:sz="6" w:space="0" w:color="B2B2B2"/>
              <w:left w:val="single" w:sz="6" w:space="0" w:color="B2B2B2"/>
              <w:bottom w:val="single" w:sz="12" w:space="0" w:color="B2B2B2"/>
              <w:right w:val="single" w:sz="12" w:space="0" w:color="B2B2B2"/>
            </w:tcBorders>
            <w:shd w:val="clear" w:color="auto" w:fill="C5EECD"/>
            <w:vAlign w:val="center"/>
          </w:tcPr>
          <w:p w14:paraId="39C2AFA3"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Confradía</w:t>
            </w:r>
          </w:p>
        </w:tc>
        <w:tc>
          <w:tcPr>
            <w:tcW w:w="1811" w:type="dxa"/>
            <w:tcBorders>
              <w:top w:val="single" w:sz="12" w:space="0" w:color="B2B2B2"/>
              <w:left w:val="single" w:sz="12" w:space="0" w:color="B2B2B2"/>
              <w:bottom w:val="single" w:sz="12" w:space="0" w:color="B2B2B2"/>
              <w:right w:val="single" w:sz="12" w:space="0" w:color="B2B2B2"/>
            </w:tcBorders>
            <w:shd w:val="clear" w:color="auto" w:fill="C5EECD"/>
            <w:vAlign w:val="center"/>
          </w:tcPr>
          <w:p w14:paraId="7CD8C8BE" w14:textId="77777777" w:rsidR="00CA38EE" w:rsidRDefault="00994EE6">
            <w:pPr>
              <w:pStyle w:val="TableParagraph"/>
              <w:spacing w:before="0" w:line="276" w:lineRule="auto"/>
              <w:ind w:left="50" w:right="77"/>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Denominación del punto</w:t>
            </w:r>
            <w:r>
              <w:rPr>
                <w:rStyle w:val="Lletraperdefectedelpargraf"/>
                <w:rFonts w:ascii="Noto Sans" w:hAnsi="Noto Sans" w:cs="Calibri Light"/>
                <w:b/>
                <w:bCs/>
                <w:color w:val="70AD47" w:themeColor="accent6"/>
                <w:spacing w:val="-36"/>
                <w:lang w:val="es-ES"/>
              </w:rPr>
              <w:t xml:space="preserve"> </w:t>
            </w:r>
            <w:r>
              <w:rPr>
                <w:rStyle w:val="Lletraperdefectedelpargraf"/>
                <w:rFonts w:ascii="Noto Sans" w:hAnsi="Noto Sans" w:cs="Calibri Light"/>
                <w:b/>
                <w:bCs/>
                <w:color w:val="70AD47" w:themeColor="accent6"/>
                <w:lang w:val="es-ES"/>
              </w:rPr>
              <w:t>de</w:t>
            </w:r>
            <w:r>
              <w:rPr>
                <w:rStyle w:val="Lletraperdefectedelpargraf"/>
                <w:rFonts w:ascii="Noto Sans" w:hAnsi="Noto Sans" w:cs="Calibri Light"/>
                <w:b/>
                <w:bCs/>
                <w:color w:val="70AD47" w:themeColor="accent6"/>
                <w:spacing w:val="-2"/>
                <w:lang w:val="es-ES"/>
              </w:rPr>
              <w:t xml:space="preserve"> </w:t>
            </w:r>
            <w:r>
              <w:rPr>
                <w:rStyle w:val="Lletraperdefectedelpargraf"/>
                <w:rFonts w:ascii="Noto Sans" w:hAnsi="Noto Sans" w:cs="Calibri Light"/>
                <w:b/>
                <w:bCs/>
                <w:color w:val="70AD47" w:themeColor="accent6"/>
                <w:lang w:val="es-ES"/>
              </w:rPr>
              <w:t>pesca</w:t>
            </w:r>
          </w:p>
        </w:tc>
        <w:tc>
          <w:tcPr>
            <w:tcW w:w="1161"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239A1AA2"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69FC8B32"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456" w:type="dxa"/>
            <w:gridSpan w:val="3"/>
            <w:tcBorders>
              <w:top w:val="single" w:sz="6" w:space="0" w:color="B2B2B2"/>
              <w:left w:val="single" w:sz="12" w:space="0" w:color="B2B2B2"/>
              <w:bottom w:val="single" w:sz="12" w:space="0" w:color="B2B2B2"/>
              <w:right w:val="single" w:sz="12" w:space="0" w:color="B2B2B2"/>
            </w:tcBorders>
            <w:shd w:val="clear" w:color="auto" w:fill="C5EECD"/>
            <w:vAlign w:val="center"/>
          </w:tcPr>
          <w:p w14:paraId="1874EEE8" w14:textId="77777777" w:rsidR="00CA38EE" w:rsidRDefault="00994EE6">
            <w:pPr>
              <w:pStyle w:val="TableParagraph"/>
              <w:spacing w:before="0" w:line="276" w:lineRule="auto"/>
              <w:ind w:left="-60"/>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58FE09C7" w14:textId="77777777" w:rsidR="00CA38EE" w:rsidRDefault="00994EE6">
            <w:pPr>
              <w:pStyle w:val="TableParagraph"/>
              <w:spacing w:before="0" w:line="276" w:lineRule="auto"/>
              <w:ind w:left="-60"/>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E</w:t>
            </w:r>
          </w:p>
        </w:tc>
        <w:tc>
          <w:tcPr>
            <w:tcW w:w="1040"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24CA0CC8" w14:textId="77777777" w:rsidR="00CA38EE" w:rsidRDefault="00994EE6">
            <w:pPr>
              <w:pStyle w:val="TableParagraph"/>
              <w:spacing w:before="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N</w:t>
            </w:r>
          </w:p>
        </w:tc>
        <w:tc>
          <w:tcPr>
            <w:tcW w:w="99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7659274D"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E</w:t>
            </w:r>
          </w:p>
        </w:tc>
        <w:tc>
          <w:tcPr>
            <w:tcW w:w="112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5459C39"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p>
          <w:p w14:paraId="6A871C3C"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12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5C53085B"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p>
          <w:p w14:paraId="78746DBC" w14:textId="77777777" w:rsidR="00CA38EE" w:rsidRDefault="00994EE6">
            <w:pPr>
              <w:pStyle w:val="TableParagraph"/>
              <w:spacing w:before="0" w:line="276" w:lineRule="auto"/>
              <w:ind w:left="-33"/>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E</w:t>
            </w:r>
          </w:p>
        </w:tc>
      </w:tr>
      <w:tr w:rsidR="00CA38EE" w14:paraId="27CD34F2" w14:textId="77777777">
        <w:trPr>
          <w:trHeight w:val="413"/>
        </w:trPr>
        <w:tc>
          <w:tcPr>
            <w:tcW w:w="1201" w:type="dxa"/>
            <w:gridSpan w:val="2"/>
            <w:tcBorders>
              <w:top w:val="single" w:sz="12" w:space="0" w:color="B2B2B2"/>
              <w:left w:val="single" w:sz="6" w:space="0" w:color="B2B2B2"/>
              <w:bottom w:val="single" w:sz="12" w:space="0" w:color="B2B2B2"/>
              <w:right w:val="single" w:sz="12" w:space="0" w:color="B2B2B2"/>
            </w:tcBorders>
            <w:vAlign w:val="center"/>
          </w:tcPr>
          <w:p w14:paraId="71C4628E" w14:textId="77777777" w:rsidR="00CA38EE" w:rsidRDefault="00994EE6">
            <w:pPr>
              <w:pStyle w:val="TableParagraph"/>
              <w:spacing w:before="0" w:line="276" w:lineRule="auto"/>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Cala Rajada</w:t>
            </w:r>
          </w:p>
        </w:tc>
        <w:tc>
          <w:tcPr>
            <w:tcW w:w="1811" w:type="dxa"/>
            <w:tcBorders>
              <w:top w:val="single" w:sz="12" w:space="0" w:color="B2B2B2"/>
              <w:left w:val="single" w:sz="4" w:space="0" w:color="000000"/>
              <w:bottom w:val="single" w:sz="12" w:space="0" w:color="B2B2B2"/>
              <w:right w:val="single" w:sz="4" w:space="0" w:color="000000"/>
            </w:tcBorders>
            <w:vAlign w:val="center"/>
          </w:tcPr>
          <w:p w14:paraId="1605DC06" w14:textId="77777777" w:rsidR="00CA38EE" w:rsidRDefault="00994EE6">
            <w:pPr>
              <w:pStyle w:val="TableParagraph"/>
              <w:spacing w:before="0" w:line="276" w:lineRule="auto"/>
              <w:ind w:left="23"/>
              <w:jc w:val="center"/>
              <w:rPr>
                <w:rStyle w:val="Lletraperdefectedelpargraf"/>
                <w:rFonts w:ascii="Noto Sans" w:hAnsi="Noto Sans" w:cs="Calibri Light"/>
                <w:color w:val="70AD47" w:themeColor="accent6"/>
                <w:lang w:val="es-ES"/>
              </w:rPr>
            </w:pPr>
            <w:r>
              <w:rPr>
                <w:rStyle w:val="Lletraperdefectedelpargraf"/>
                <w:rFonts w:ascii="Noto Sans" w:hAnsi="Noto Sans" w:cs="Calibri Light"/>
                <w:color w:val="70AD47" w:themeColor="accent6"/>
                <w:lang w:val="es-ES"/>
              </w:rPr>
              <w:t>Sa Torre</w:t>
            </w:r>
          </w:p>
        </w:tc>
        <w:tc>
          <w:tcPr>
            <w:tcW w:w="1161" w:type="dxa"/>
            <w:tcBorders>
              <w:top w:val="single" w:sz="12" w:space="0" w:color="B2B2B2"/>
              <w:left w:val="single" w:sz="12" w:space="0" w:color="B2B2B2"/>
              <w:bottom w:val="single" w:sz="12" w:space="0" w:color="B2B2B2"/>
              <w:right w:val="single" w:sz="12" w:space="0" w:color="B2B2B2"/>
            </w:tcBorders>
            <w:vAlign w:val="center"/>
          </w:tcPr>
          <w:p w14:paraId="79D67E29"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39</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eastAsia="Times New Roman" w:hAnsi="Noto Sans" w:cs="Calibri Light"/>
                <w:color w:val="70AD47" w:themeColor="accent6"/>
                <w:kern w:val="0"/>
                <w:sz w:val="22"/>
                <w:lang w:val="es-ES"/>
              </w:rPr>
              <w:t>45.803’</w:t>
            </w:r>
          </w:p>
        </w:tc>
        <w:tc>
          <w:tcPr>
            <w:tcW w:w="1456" w:type="dxa"/>
            <w:gridSpan w:val="3"/>
            <w:tcBorders>
              <w:top w:val="single" w:sz="12" w:space="0" w:color="B2B2B2"/>
              <w:left w:val="single" w:sz="12" w:space="0" w:color="B2B2B2"/>
              <w:bottom w:val="single" w:sz="12" w:space="0" w:color="B2B2B2"/>
              <w:right w:val="single" w:sz="12" w:space="0" w:color="B2B2B2"/>
            </w:tcBorders>
            <w:vAlign w:val="center"/>
          </w:tcPr>
          <w:p w14:paraId="34B2DCA3" w14:textId="77777777" w:rsidR="00CA38EE" w:rsidRDefault="00994EE6">
            <w:pPr>
              <w:pStyle w:val="LO-Normal"/>
              <w:widowControl w:val="0"/>
              <w:spacing w:after="0" w:line="276" w:lineRule="auto"/>
              <w:jc w:val="center"/>
              <w:rPr>
                <w:rStyle w:val="Lletraperdefectedelpargraf"/>
                <w:rFonts w:ascii="Noto Sans" w:eastAsia="Times New Roman" w:hAnsi="Noto Sans" w:cs="Calibri Light"/>
                <w:color w:val="70AD47" w:themeColor="accent6"/>
                <w:sz w:val="22"/>
                <w:lang w:val="es-ES"/>
              </w:rPr>
            </w:pPr>
            <w:r>
              <w:rPr>
                <w:rStyle w:val="Lletraperdefectedelpargraf"/>
                <w:rFonts w:ascii="Noto Sans" w:eastAsia="Times New Roman" w:hAnsi="Noto Sans" w:cs="Calibri Light"/>
                <w:color w:val="70AD47" w:themeColor="accent6"/>
                <w:kern w:val="0"/>
                <w:sz w:val="22"/>
                <w:lang w:val="es-ES"/>
              </w:rPr>
              <w:t>3</w:t>
            </w:r>
            <w:r>
              <w:rPr>
                <w:rStyle w:val="Lletraperdefectedelpargraf"/>
                <w:rFonts w:ascii="Noto Sans" w:eastAsia="Symbol" w:hAnsi="Noto Sans" w:cs="Symbol"/>
                <w:color w:val="70AD47" w:themeColor="accent6"/>
                <w:kern w:val="0"/>
                <w:sz w:val="22"/>
                <w:lang w:val="es-ES"/>
              </w:rPr>
              <w:t>º</w:t>
            </w:r>
            <w:r>
              <w:rPr>
                <w:rStyle w:val="Lletraperdefectedelpargraf"/>
                <w:rFonts w:ascii="Noto Sans" w:eastAsia="Times New Roman" w:hAnsi="Noto Sans" w:cs="Calibri Light"/>
                <w:color w:val="70AD47" w:themeColor="accent6"/>
                <w:kern w:val="0"/>
                <w:sz w:val="22"/>
                <w:lang w:val="es-ES"/>
              </w:rPr>
              <w:t>24.057’</w:t>
            </w:r>
          </w:p>
        </w:tc>
        <w:tc>
          <w:tcPr>
            <w:tcW w:w="1040" w:type="dxa"/>
            <w:tcBorders>
              <w:top w:val="single" w:sz="12" w:space="0" w:color="B2B2B2"/>
              <w:left w:val="single" w:sz="12" w:space="0" w:color="B2B2B2"/>
              <w:bottom w:val="single" w:sz="12" w:space="0" w:color="B2B2B2"/>
              <w:right w:val="single" w:sz="12" w:space="0" w:color="B2B2B2"/>
            </w:tcBorders>
            <w:vAlign w:val="center"/>
          </w:tcPr>
          <w:p w14:paraId="4CC728DD" w14:textId="77777777" w:rsidR="00CA38EE" w:rsidRDefault="00994EE6">
            <w:pPr>
              <w:pStyle w:val="TableParagraph"/>
              <w:spacing w:before="0" w:line="276" w:lineRule="auto"/>
              <w:ind w:right="2"/>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39°46.303’</w:t>
            </w:r>
          </w:p>
        </w:tc>
        <w:tc>
          <w:tcPr>
            <w:tcW w:w="992" w:type="dxa"/>
            <w:tcBorders>
              <w:top w:val="single" w:sz="12" w:space="0" w:color="B2B2B2"/>
              <w:left w:val="single" w:sz="12" w:space="0" w:color="B2B2B2"/>
              <w:bottom w:val="single" w:sz="12" w:space="0" w:color="B2B2B2"/>
              <w:right w:val="single" w:sz="12" w:space="0" w:color="B2B2B2"/>
            </w:tcBorders>
            <w:vAlign w:val="center"/>
          </w:tcPr>
          <w:p w14:paraId="0F778359"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3°24.557’</w:t>
            </w:r>
          </w:p>
        </w:tc>
        <w:tc>
          <w:tcPr>
            <w:tcW w:w="1127" w:type="dxa"/>
            <w:tcBorders>
              <w:top w:val="single" w:sz="12" w:space="0" w:color="B2B2B2"/>
              <w:left w:val="single" w:sz="12" w:space="0" w:color="B2B2B2"/>
              <w:bottom w:val="single" w:sz="12" w:space="0" w:color="B2B2B2"/>
              <w:right w:val="single" w:sz="12" w:space="0" w:color="B2B2B2"/>
            </w:tcBorders>
            <w:vAlign w:val="center"/>
          </w:tcPr>
          <w:p w14:paraId="76F6B7BC" w14:textId="77777777" w:rsidR="00CA38EE" w:rsidRDefault="00994EE6">
            <w:pPr>
              <w:pStyle w:val="TableParagraph"/>
              <w:spacing w:before="0" w:line="276" w:lineRule="auto"/>
              <w:ind w:right="1"/>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39°46.303’</w:t>
            </w:r>
          </w:p>
        </w:tc>
        <w:tc>
          <w:tcPr>
            <w:tcW w:w="1122" w:type="dxa"/>
            <w:tcBorders>
              <w:top w:val="single" w:sz="12" w:space="0" w:color="B2B2B2"/>
              <w:left w:val="single" w:sz="12" w:space="0" w:color="B2B2B2"/>
              <w:bottom w:val="single" w:sz="12" w:space="0" w:color="B2B2B2"/>
              <w:right w:val="single" w:sz="12" w:space="0" w:color="B2B2B2"/>
            </w:tcBorders>
            <w:vAlign w:val="center"/>
          </w:tcPr>
          <w:p w14:paraId="71F38F4B" w14:textId="77777777" w:rsidR="00CA38EE" w:rsidRDefault="00994EE6">
            <w:pPr>
              <w:pStyle w:val="TableParagraph"/>
              <w:spacing w:before="0" w:line="276" w:lineRule="auto"/>
              <w:jc w:val="center"/>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3°23.557’</w:t>
            </w:r>
          </w:p>
        </w:tc>
      </w:tr>
    </w:tbl>
    <w:p w14:paraId="36A8E146" w14:textId="77777777" w:rsidR="00994EE6" w:rsidRDefault="00994EE6">
      <w:pPr>
        <w:pStyle w:val="Textoindependiente"/>
        <w:spacing w:after="240"/>
        <w:jc w:val="center"/>
        <w:rPr>
          <w:rFonts w:ascii="Noto Sans" w:eastAsia="Noto Sans" w:hAnsi="Noto Sans" w:cs="Noto Sans"/>
          <w:b/>
          <w:bCs/>
          <w:lang w:val="es-ES"/>
        </w:rPr>
      </w:pPr>
    </w:p>
    <w:p w14:paraId="62B29B68" w14:textId="77777777" w:rsidR="00994EE6" w:rsidRDefault="00994EE6">
      <w:pPr>
        <w:pStyle w:val="Textoindependiente"/>
        <w:spacing w:after="240"/>
        <w:jc w:val="center"/>
        <w:rPr>
          <w:rFonts w:ascii="Noto Sans" w:eastAsia="Noto Sans" w:hAnsi="Noto Sans" w:cs="Noto Sans"/>
          <w:b/>
          <w:bCs/>
          <w:lang w:val="es-ES"/>
        </w:rPr>
      </w:pPr>
    </w:p>
    <w:p w14:paraId="0674F5C5" w14:textId="07D71E50"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lang w:val="es-ES"/>
        </w:rPr>
        <w:lastRenderedPageBreak/>
        <w:t>ANEXO 4</w:t>
      </w:r>
    </w:p>
    <w:p w14:paraId="50052F7A" w14:textId="77777777"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color w:val="auto"/>
          <w:lang w:val="es-ES"/>
        </w:rPr>
        <w:t>Listado de puntos tradicionales de calado de artes de tiro, en la modalidad de gerretera, en el ámbito del Plan de Gestión para la pesca profesional en las aguas interiores de las bahías de Pollença y Alcúdia.</w:t>
      </w:r>
    </w:p>
    <w:p w14:paraId="71FB3BE6" w14:textId="77777777" w:rsidR="00CA38EE" w:rsidRDefault="00CA38EE">
      <w:pPr>
        <w:pStyle w:val="LO-Normal"/>
        <w:spacing w:before="120" w:after="0" w:line="276" w:lineRule="auto"/>
        <w:rPr>
          <w:rFonts w:ascii="Noto Sans" w:hAnsi="Noto Sans" w:cs="Calibri Light"/>
          <w:strike/>
          <w:color w:val="C9211E"/>
          <w:sz w:val="22"/>
          <w:lang w:val="es-ES"/>
        </w:rPr>
      </w:pPr>
    </w:p>
    <w:tbl>
      <w:tblPr>
        <w:tblW w:w="9588" w:type="dxa"/>
        <w:tblInd w:w="3" w:type="dxa"/>
        <w:tblLayout w:type="fixed"/>
        <w:tblCellMar>
          <w:left w:w="7" w:type="dxa"/>
          <w:right w:w="15" w:type="dxa"/>
        </w:tblCellMar>
        <w:tblLook w:val="04A0" w:firstRow="1" w:lastRow="0" w:firstColumn="1" w:lastColumn="0" w:noHBand="0" w:noVBand="1"/>
      </w:tblPr>
      <w:tblGrid>
        <w:gridCol w:w="1135"/>
        <w:gridCol w:w="1845"/>
        <w:gridCol w:w="1137"/>
        <w:gridCol w:w="1260"/>
        <w:gridCol w:w="1102"/>
        <w:gridCol w:w="1020"/>
        <w:gridCol w:w="1095"/>
        <w:gridCol w:w="994"/>
      </w:tblGrid>
      <w:tr w:rsidR="00CA38EE" w14:paraId="6368B43C" w14:textId="77777777">
        <w:trPr>
          <w:trHeight w:val="692"/>
        </w:trPr>
        <w:tc>
          <w:tcPr>
            <w:tcW w:w="1134"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4E35EBED" w14:textId="77777777" w:rsidR="00CA38EE" w:rsidRDefault="00994EE6">
            <w:pPr>
              <w:pStyle w:val="TableParagraph"/>
              <w:spacing w:before="120" w:line="276" w:lineRule="auto"/>
              <w:ind w:left="-12"/>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Confradía</w:t>
            </w:r>
          </w:p>
        </w:tc>
        <w:tc>
          <w:tcPr>
            <w:tcW w:w="1844" w:type="dxa"/>
            <w:tcBorders>
              <w:top w:val="single" w:sz="6" w:space="0" w:color="B2B2B2"/>
              <w:left w:val="single" w:sz="6" w:space="0" w:color="B2B2B2"/>
              <w:bottom w:val="single" w:sz="12" w:space="0" w:color="B2B2B2"/>
              <w:right w:val="single" w:sz="12" w:space="0" w:color="B2B2B2"/>
            </w:tcBorders>
            <w:shd w:val="clear" w:color="auto" w:fill="C5EECD"/>
            <w:vAlign w:val="center"/>
          </w:tcPr>
          <w:p w14:paraId="05A8C93B" w14:textId="77777777" w:rsidR="00CA38EE" w:rsidRDefault="00994EE6">
            <w:pPr>
              <w:pStyle w:val="TableParagraph"/>
              <w:spacing w:before="120" w:line="276" w:lineRule="auto"/>
              <w:ind w:left="-12"/>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Denominación</w:t>
            </w:r>
            <w:r>
              <w:rPr>
                <w:rStyle w:val="Lletraperdefectedelpargraf"/>
                <w:rFonts w:ascii="Noto Sans" w:hAnsi="Noto Sans" w:cs="Calibri Light"/>
                <w:b/>
                <w:bCs/>
                <w:color w:val="70AD47" w:themeColor="accent6"/>
                <w:spacing w:val="-5"/>
                <w:lang w:val="es-ES"/>
              </w:rPr>
              <w:t xml:space="preserve"> </w:t>
            </w:r>
            <w:r>
              <w:rPr>
                <w:rStyle w:val="Lletraperdefectedelpargraf"/>
                <w:rFonts w:ascii="Noto Sans" w:hAnsi="Noto Sans" w:cs="Calibri Light"/>
                <w:b/>
                <w:bCs/>
                <w:color w:val="70AD47" w:themeColor="accent6"/>
                <w:lang w:val="es-ES"/>
              </w:rPr>
              <w:t>del</w:t>
            </w:r>
            <w:r>
              <w:rPr>
                <w:rStyle w:val="Lletraperdefectedelpargraf"/>
                <w:rFonts w:ascii="Noto Sans" w:hAnsi="Noto Sans" w:cs="Calibri Light"/>
                <w:b/>
                <w:bCs/>
                <w:color w:val="70AD47" w:themeColor="accent6"/>
                <w:spacing w:val="-5"/>
                <w:lang w:val="es-ES"/>
              </w:rPr>
              <w:t xml:space="preserve"> </w:t>
            </w:r>
            <w:r>
              <w:rPr>
                <w:rStyle w:val="Lletraperdefectedelpargraf"/>
                <w:rFonts w:ascii="Noto Sans" w:hAnsi="Noto Sans" w:cs="Calibri Light"/>
                <w:b/>
                <w:bCs/>
                <w:color w:val="70AD47" w:themeColor="accent6"/>
                <w:lang w:val="es-ES"/>
              </w:rPr>
              <w:t>punto</w:t>
            </w:r>
            <w:r>
              <w:rPr>
                <w:rStyle w:val="Lletraperdefectedelpargraf"/>
                <w:rFonts w:ascii="Noto Sans" w:hAnsi="Noto Sans" w:cs="Calibri Light"/>
                <w:b/>
                <w:bCs/>
                <w:color w:val="70AD47" w:themeColor="accent6"/>
                <w:spacing w:val="-5"/>
                <w:lang w:val="es-ES"/>
              </w:rPr>
              <w:t xml:space="preserve"> </w:t>
            </w:r>
            <w:r>
              <w:rPr>
                <w:rStyle w:val="Lletraperdefectedelpargraf"/>
                <w:rFonts w:ascii="Noto Sans" w:hAnsi="Noto Sans" w:cs="Calibri Light"/>
                <w:b/>
                <w:bCs/>
                <w:color w:val="70AD47" w:themeColor="accent6"/>
                <w:lang w:val="es-ES"/>
              </w:rPr>
              <w:t>de</w:t>
            </w:r>
            <w:r>
              <w:rPr>
                <w:rStyle w:val="Lletraperdefectedelpargraf"/>
                <w:rFonts w:ascii="Noto Sans" w:hAnsi="Noto Sans" w:cs="Calibri Light"/>
                <w:b/>
                <w:bCs/>
                <w:color w:val="70AD47" w:themeColor="accent6"/>
                <w:spacing w:val="-5"/>
                <w:lang w:val="es-ES"/>
              </w:rPr>
              <w:t xml:space="preserve"> </w:t>
            </w:r>
            <w:r>
              <w:rPr>
                <w:rStyle w:val="Lletraperdefectedelpargraf"/>
                <w:rFonts w:ascii="Noto Sans" w:hAnsi="Noto Sans" w:cs="Calibri Light"/>
                <w:b/>
                <w:bCs/>
                <w:color w:val="70AD47" w:themeColor="accent6"/>
                <w:lang w:val="es-ES"/>
              </w:rPr>
              <w:t>pesca</w:t>
            </w:r>
          </w:p>
        </w:tc>
        <w:tc>
          <w:tcPr>
            <w:tcW w:w="1137"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373C7FA7" w14:textId="77777777" w:rsidR="00CA38EE" w:rsidRDefault="00994EE6">
            <w:pPr>
              <w:pStyle w:val="TableParagraph"/>
              <w:spacing w:before="120" w:line="276" w:lineRule="auto"/>
              <w:ind w:left="-11"/>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N</w:t>
            </w:r>
          </w:p>
        </w:tc>
        <w:tc>
          <w:tcPr>
            <w:tcW w:w="1260"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26F9EB62" w14:textId="77777777" w:rsidR="00CA38EE" w:rsidRDefault="00994EE6">
            <w:pPr>
              <w:pStyle w:val="TableParagraph"/>
              <w:spacing w:before="12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1</w:t>
            </w:r>
          </w:p>
          <w:p w14:paraId="5CC7CD8A" w14:textId="77777777" w:rsidR="00CA38EE" w:rsidRDefault="00994EE6">
            <w:pPr>
              <w:pStyle w:val="TableParagraph"/>
              <w:spacing w:before="12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E</w:t>
            </w:r>
          </w:p>
        </w:tc>
        <w:tc>
          <w:tcPr>
            <w:tcW w:w="1102"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78251726" w14:textId="77777777" w:rsidR="00CA38EE" w:rsidRDefault="00994EE6">
            <w:pPr>
              <w:pStyle w:val="TableParagraph"/>
              <w:spacing w:before="120" w:line="276" w:lineRule="auto"/>
              <w:ind w:left="-15"/>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p>
          <w:p w14:paraId="41F5FBD9" w14:textId="77777777" w:rsidR="00CA38EE" w:rsidRDefault="00994EE6">
            <w:pPr>
              <w:pStyle w:val="TableParagraph"/>
              <w:spacing w:before="120" w:line="276" w:lineRule="auto"/>
              <w:ind w:left="-15"/>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N</w:t>
            </w:r>
          </w:p>
        </w:tc>
        <w:tc>
          <w:tcPr>
            <w:tcW w:w="1020"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14CB952B" w14:textId="77777777" w:rsidR="00CA38EE" w:rsidRDefault="00994EE6">
            <w:pPr>
              <w:pStyle w:val="TableParagraph"/>
              <w:spacing w:before="120" w:line="276" w:lineRule="auto"/>
              <w:ind w:left="-15"/>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2</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E</w:t>
            </w:r>
          </w:p>
        </w:tc>
        <w:tc>
          <w:tcPr>
            <w:tcW w:w="1095"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61264439" w14:textId="77777777" w:rsidR="00CA38EE" w:rsidRDefault="00994EE6">
            <w:pPr>
              <w:pStyle w:val="TableParagraph"/>
              <w:spacing w:before="12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N</w:t>
            </w:r>
          </w:p>
        </w:tc>
        <w:tc>
          <w:tcPr>
            <w:tcW w:w="994" w:type="dxa"/>
            <w:tcBorders>
              <w:top w:val="single" w:sz="6" w:space="0" w:color="B2B2B2"/>
              <w:left w:val="single" w:sz="12" w:space="0" w:color="B2B2B2"/>
              <w:bottom w:val="single" w:sz="12" w:space="0" w:color="B2B2B2"/>
              <w:right w:val="single" w:sz="12" w:space="0" w:color="B2B2B2"/>
            </w:tcBorders>
            <w:shd w:val="clear" w:color="auto" w:fill="C5EECD"/>
            <w:vAlign w:val="center"/>
          </w:tcPr>
          <w:p w14:paraId="141421FD" w14:textId="77777777" w:rsidR="00CA38EE" w:rsidRDefault="00994EE6">
            <w:pPr>
              <w:pStyle w:val="TableParagraph"/>
              <w:spacing w:before="120" w:line="276" w:lineRule="auto"/>
              <w:jc w:val="center"/>
              <w:rPr>
                <w:rStyle w:val="Lletraperdefectedelpargraf"/>
                <w:rFonts w:ascii="Noto Sans" w:hAnsi="Noto Sans" w:cs="Calibri Light"/>
                <w:b/>
                <w:bCs/>
                <w:color w:val="70AD47" w:themeColor="accent6"/>
                <w:lang w:val="es-ES"/>
              </w:rPr>
            </w:pPr>
            <w:r>
              <w:rPr>
                <w:rStyle w:val="Lletraperdefectedelpargraf"/>
                <w:rFonts w:ascii="Noto Sans" w:hAnsi="Noto Sans" w:cs="Calibri Light"/>
                <w:b/>
                <w:bCs/>
                <w:color w:val="70AD47" w:themeColor="accent6"/>
                <w:lang w:val="es-ES"/>
              </w:rPr>
              <w:t>Coord.</w:t>
            </w:r>
            <w:r>
              <w:rPr>
                <w:rStyle w:val="Lletraperdefectedelpargraf"/>
                <w:rFonts w:ascii="Noto Sans" w:hAnsi="Noto Sans" w:cs="Calibri Light"/>
                <w:b/>
                <w:bCs/>
                <w:color w:val="70AD47" w:themeColor="accent6"/>
                <w:spacing w:val="-3"/>
                <w:lang w:val="es-ES"/>
              </w:rPr>
              <w:t xml:space="preserve"> </w:t>
            </w:r>
            <w:r>
              <w:rPr>
                <w:rStyle w:val="Lletraperdefectedelpargraf"/>
                <w:rFonts w:ascii="Noto Sans" w:hAnsi="Noto Sans" w:cs="Calibri Light"/>
                <w:b/>
                <w:bCs/>
                <w:color w:val="70AD47" w:themeColor="accent6"/>
                <w:lang w:val="es-ES"/>
              </w:rPr>
              <w:t>3</w:t>
            </w:r>
            <w:r>
              <w:rPr>
                <w:rStyle w:val="Lletraperdefectedelpargraf"/>
                <w:rFonts w:ascii="Noto Sans" w:hAnsi="Noto Sans" w:cs="Calibri Light"/>
                <w:b/>
                <w:bCs/>
                <w:color w:val="70AD47" w:themeColor="accent6"/>
                <w:spacing w:val="-1"/>
                <w:lang w:val="es-ES"/>
              </w:rPr>
              <w:t xml:space="preserve"> </w:t>
            </w:r>
            <w:r>
              <w:rPr>
                <w:rStyle w:val="Lletraperdefectedelpargraf"/>
                <w:rFonts w:ascii="Noto Sans" w:hAnsi="Noto Sans" w:cs="Calibri Light"/>
                <w:b/>
                <w:bCs/>
                <w:color w:val="70AD47" w:themeColor="accent6"/>
                <w:lang w:val="es-ES"/>
              </w:rPr>
              <w:t>E</w:t>
            </w:r>
          </w:p>
        </w:tc>
      </w:tr>
      <w:tr w:rsidR="00CA38EE" w14:paraId="1E940F09" w14:textId="77777777">
        <w:trPr>
          <w:trHeight w:val="266"/>
        </w:trPr>
        <w:tc>
          <w:tcPr>
            <w:tcW w:w="1134" w:type="dxa"/>
            <w:tcBorders>
              <w:top w:val="single" w:sz="12" w:space="0" w:color="B2B2B2"/>
              <w:left w:val="single" w:sz="6" w:space="0" w:color="B2B2B2"/>
              <w:bottom w:val="single" w:sz="12" w:space="0" w:color="B2B2B2"/>
              <w:right w:val="single" w:sz="12" w:space="0" w:color="B2B2B2"/>
            </w:tcBorders>
            <w:vAlign w:val="center"/>
          </w:tcPr>
          <w:p w14:paraId="42D74D05" w14:textId="77777777" w:rsidR="00CA38EE" w:rsidRDefault="00994EE6">
            <w:pPr>
              <w:pStyle w:val="TableParagraph"/>
              <w:spacing w:before="120" w:after="120"/>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44" w:type="dxa"/>
            <w:tcBorders>
              <w:top w:val="single" w:sz="12" w:space="0" w:color="B2B2B2"/>
              <w:left w:val="single" w:sz="6" w:space="0" w:color="B2B2B2"/>
              <w:bottom w:val="single" w:sz="12" w:space="0" w:color="B2B2B2"/>
              <w:right w:val="single" w:sz="12" w:space="0" w:color="B2B2B2"/>
            </w:tcBorders>
            <w:vAlign w:val="center"/>
          </w:tcPr>
          <w:p w14:paraId="58B28FE2" w14:textId="77777777" w:rsidR="00CA38EE" w:rsidRDefault="00994EE6">
            <w:pPr>
              <w:pStyle w:val="TableParagraph"/>
              <w:spacing w:before="120" w:line="276" w:lineRule="auto"/>
              <w:ind w:left="22"/>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Morro del Pont</w:t>
            </w:r>
          </w:p>
        </w:tc>
        <w:tc>
          <w:tcPr>
            <w:tcW w:w="1137" w:type="dxa"/>
            <w:tcBorders>
              <w:top w:val="single" w:sz="12" w:space="0" w:color="B2B2B2"/>
              <w:left w:val="single" w:sz="12" w:space="0" w:color="B2B2B2"/>
              <w:bottom w:val="single" w:sz="12" w:space="0" w:color="B2B2B2"/>
              <w:right w:val="single" w:sz="12" w:space="0" w:color="B2B2B2"/>
            </w:tcBorders>
            <w:vAlign w:val="center"/>
          </w:tcPr>
          <w:p w14:paraId="5546AD7D"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39°56.477'</w:t>
            </w:r>
          </w:p>
        </w:tc>
        <w:tc>
          <w:tcPr>
            <w:tcW w:w="1260" w:type="dxa"/>
            <w:tcBorders>
              <w:top w:val="single" w:sz="12" w:space="0" w:color="B2B2B2"/>
              <w:left w:val="single" w:sz="12" w:space="0" w:color="B2B2B2"/>
              <w:bottom w:val="single" w:sz="12" w:space="0" w:color="B2B2B2"/>
              <w:right w:val="single" w:sz="12" w:space="0" w:color="B2B2B2"/>
            </w:tcBorders>
            <w:vAlign w:val="center"/>
          </w:tcPr>
          <w:p w14:paraId="137A6CD4"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003°11.464'</w:t>
            </w:r>
          </w:p>
        </w:tc>
        <w:tc>
          <w:tcPr>
            <w:tcW w:w="1102" w:type="dxa"/>
            <w:tcBorders>
              <w:top w:val="single" w:sz="12" w:space="0" w:color="B2B2B2"/>
              <w:left w:val="single" w:sz="12" w:space="0" w:color="B2B2B2"/>
              <w:bottom w:val="single" w:sz="12" w:space="0" w:color="B2B2B2"/>
              <w:right w:val="single" w:sz="12" w:space="0" w:color="B2B2B2"/>
            </w:tcBorders>
            <w:vAlign w:val="center"/>
          </w:tcPr>
          <w:p w14:paraId="5AADC161"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39º56,137’</w:t>
            </w:r>
          </w:p>
        </w:tc>
        <w:tc>
          <w:tcPr>
            <w:tcW w:w="1020" w:type="dxa"/>
            <w:tcBorders>
              <w:top w:val="single" w:sz="12" w:space="0" w:color="B2B2B2"/>
              <w:left w:val="single" w:sz="12" w:space="0" w:color="B2B2B2"/>
              <w:bottom w:val="single" w:sz="12" w:space="0" w:color="B2B2B2"/>
              <w:right w:val="single" w:sz="12" w:space="0" w:color="B2B2B2"/>
            </w:tcBorders>
            <w:vAlign w:val="center"/>
          </w:tcPr>
          <w:p w14:paraId="56E08133"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3º11,505’</w:t>
            </w:r>
          </w:p>
        </w:tc>
        <w:tc>
          <w:tcPr>
            <w:tcW w:w="1095" w:type="dxa"/>
            <w:tcBorders>
              <w:top w:val="single" w:sz="12" w:space="0" w:color="B2B2B2"/>
              <w:left w:val="single" w:sz="12" w:space="0" w:color="B2B2B2"/>
              <w:bottom w:val="single" w:sz="12" w:space="0" w:color="B2B2B2"/>
              <w:right w:val="single" w:sz="12" w:space="0" w:color="B2B2B2"/>
            </w:tcBorders>
            <w:vAlign w:val="center"/>
          </w:tcPr>
          <w:p w14:paraId="7DC96EFE"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39º56,400’</w:t>
            </w:r>
          </w:p>
        </w:tc>
        <w:tc>
          <w:tcPr>
            <w:tcW w:w="994" w:type="dxa"/>
            <w:tcBorders>
              <w:top w:val="single" w:sz="12" w:space="0" w:color="B2B2B2"/>
              <w:left w:val="single" w:sz="12" w:space="0" w:color="B2B2B2"/>
              <w:bottom w:val="single" w:sz="12" w:space="0" w:color="B2B2B2"/>
              <w:right w:val="single" w:sz="12" w:space="0" w:color="B2B2B2"/>
            </w:tcBorders>
            <w:vAlign w:val="center"/>
          </w:tcPr>
          <w:p w14:paraId="33B414F0"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3º11,538’</w:t>
            </w:r>
          </w:p>
        </w:tc>
      </w:tr>
      <w:tr w:rsidR="00CA38EE" w14:paraId="0FC5DB10" w14:textId="77777777">
        <w:trPr>
          <w:trHeight w:val="267"/>
        </w:trPr>
        <w:tc>
          <w:tcPr>
            <w:tcW w:w="1134" w:type="dxa"/>
            <w:tcBorders>
              <w:top w:val="single" w:sz="12" w:space="0" w:color="B2B2B2"/>
              <w:left w:val="single" w:sz="6" w:space="0" w:color="B2B2B2"/>
              <w:bottom w:val="single" w:sz="12" w:space="0" w:color="B2B2B2"/>
              <w:right w:val="single" w:sz="12" w:space="0" w:color="B2B2B2"/>
            </w:tcBorders>
            <w:vAlign w:val="center"/>
          </w:tcPr>
          <w:p w14:paraId="31118990" w14:textId="77777777" w:rsidR="00CA38EE" w:rsidRDefault="00994EE6">
            <w:pPr>
              <w:pStyle w:val="TableParagraph"/>
              <w:spacing w:before="120" w:after="120"/>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44" w:type="dxa"/>
            <w:tcBorders>
              <w:top w:val="single" w:sz="12" w:space="0" w:color="B2B2B2"/>
              <w:left w:val="single" w:sz="6" w:space="0" w:color="B2B2B2"/>
              <w:bottom w:val="single" w:sz="12" w:space="0" w:color="B2B2B2"/>
              <w:right w:val="single" w:sz="12" w:space="0" w:color="B2B2B2"/>
            </w:tcBorders>
            <w:vAlign w:val="center"/>
          </w:tcPr>
          <w:p w14:paraId="08D7231F" w14:textId="77777777" w:rsidR="00CA38EE" w:rsidRDefault="00994EE6">
            <w:pPr>
              <w:pStyle w:val="TableParagraph"/>
              <w:spacing w:before="120" w:line="276" w:lineRule="auto"/>
              <w:ind w:left="22"/>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Les Salines</w:t>
            </w:r>
          </w:p>
        </w:tc>
        <w:tc>
          <w:tcPr>
            <w:tcW w:w="1137" w:type="dxa"/>
            <w:tcBorders>
              <w:top w:val="single" w:sz="12" w:space="0" w:color="B2B2B2"/>
              <w:left w:val="single" w:sz="12" w:space="0" w:color="B2B2B2"/>
              <w:bottom w:val="single" w:sz="12" w:space="0" w:color="B2B2B2"/>
              <w:right w:val="single" w:sz="12" w:space="0" w:color="B2B2B2"/>
            </w:tcBorders>
            <w:vAlign w:val="center"/>
          </w:tcPr>
          <w:p w14:paraId="406B0C84"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39°56.049'</w:t>
            </w:r>
          </w:p>
        </w:tc>
        <w:tc>
          <w:tcPr>
            <w:tcW w:w="1260" w:type="dxa"/>
            <w:tcBorders>
              <w:top w:val="single" w:sz="12" w:space="0" w:color="B2B2B2"/>
              <w:left w:val="single" w:sz="12" w:space="0" w:color="B2B2B2"/>
              <w:bottom w:val="single" w:sz="12" w:space="0" w:color="B2B2B2"/>
              <w:right w:val="single" w:sz="12" w:space="0" w:color="B2B2B2"/>
            </w:tcBorders>
            <w:vAlign w:val="center"/>
          </w:tcPr>
          <w:p w14:paraId="65CBFCE4"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003°10.442'</w:t>
            </w:r>
          </w:p>
        </w:tc>
        <w:tc>
          <w:tcPr>
            <w:tcW w:w="1102" w:type="dxa"/>
            <w:tcBorders>
              <w:top w:val="single" w:sz="12" w:space="0" w:color="B2B2B2"/>
              <w:left w:val="single" w:sz="12" w:space="0" w:color="B2B2B2"/>
              <w:bottom w:val="single" w:sz="12" w:space="0" w:color="B2B2B2"/>
              <w:right w:val="single" w:sz="12" w:space="0" w:color="B2B2B2"/>
            </w:tcBorders>
          </w:tcPr>
          <w:p w14:paraId="5DB1A7F8"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39°56,078</w:t>
            </w:r>
          </w:p>
        </w:tc>
        <w:tc>
          <w:tcPr>
            <w:tcW w:w="1020" w:type="dxa"/>
            <w:tcBorders>
              <w:top w:val="single" w:sz="12" w:space="0" w:color="B2B2B2"/>
              <w:left w:val="single" w:sz="12" w:space="0" w:color="B2B2B2"/>
              <w:bottom w:val="single" w:sz="12" w:space="0" w:color="B2B2B2"/>
              <w:right w:val="single" w:sz="12" w:space="0" w:color="B2B2B2"/>
            </w:tcBorders>
          </w:tcPr>
          <w:p w14:paraId="0385B994"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3°10,632'</w:t>
            </w:r>
          </w:p>
        </w:tc>
        <w:tc>
          <w:tcPr>
            <w:tcW w:w="1095" w:type="dxa"/>
            <w:tcBorders>
              <w:top w:val="single" w:sz="12" w:space="0" w:color="B2B2B2"/>
              <w:left w:val="single" w:sz="12" w:space="0" w:color="B2B2B2"/>
              <w:bottom w:val="single" w:sz="12" w:space="0" w:color="B2B2B2"/>
              <w:right w:val="single" w:sz="12" w:space="0" w:color="B2B2B2"/>
            </w:tcBorders>
          </w:tcPr>
          <w:p w14:paraId="3C2D0622"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39°56,190'</w:t>
            </w:r>
          </w:p>
        </w:tc>
        <w:tc>
          <w:tcPr>
            <w:tcW w:w="994" w:type="dxa"/>
            <w:tcBorders>
              <w:top w:val="single" w:sz="12" w:space="0" w:color="B2B2B2"/>
              <w:left w:val="single" w:sz="12" w:space="0" w:color="B2B2B2"/>
              <w:bottom w:val="single" w:sz="12" w:space="0" w:color="B2B2B2"/>
              <w:right w:val="single" w:sz="12" w:space="0" w:color="B2B2B2"/>
            </w:tcBorders>
          </w:tcPr>
          <w:p w14:paraId="26511601"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3°10,659’</w:t>
            </w:r>
          </w:p>
        </w:tc>
      </w:tr>
      <w:tr w:rsidR="00CA38EE" w14:paraId="6648B919" w14:textId="77777777">
        <w:trPr>
          <w:trHeight w:val="266"/>
        </w:trPr>
        <w:tc>
          <w:tcPr>
            <w:tcW w:w="1134" w:type="dxa"/>
            <w:tcBorders>
              <w:top w:val="single" w:sz="12" w:space="0" w:color="B2B2B2"/>
              <w:left w:val="single" w:sz="6" w:space="0" w:color="B2B2B2"/>
              <w:bottom w:val="single" w:sz="12" w:space="0" w:color="B2B2B2"/>
              <w:right w:val="single" w:sz="12" w:space="0" w:color="B2B2B2"/>
            </w:tcBorders>
            <w:vAlign w:val="center"/>
          </w:tcPr>
          <w:p w14:paraId="3471BF38" w14:textId="77777777" w:rsidR="00CA38EE" w:rsidRDefault="00994EE6">
            <w:pPr>
              <w:pStyle w:val="TableParagraph"/>
              <w:spacing w:before="120" w:after="120"/>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44" w:type="dxa"/>
            <w:tcBorders>
              <w:top w:val="single" w:sz="12" w:space="0" w:color="B2B2B2"/>
              <w:left w:val="single" w:sz="6" w:space="0" w:color="B2B2B2"/>
              <w:bottom w:val="single" w:sz="12" w:space="0" w:color="B2B2B2"/>
              <w:right w:val="single" w:sz="12" w:space="0" w:color="B2B2B2"/>
            </w:tcBorders>
            <w:vAlign w:val="center"/>
          </w:tcPr>
          <w:p w14:paraId="0AC188FC" w14:textId="77777777" w:rsidR="00CA38EE" w:rsidRDefault="00994EE6">
            <w:pPr>
              <w:pStyle w:val="TableParagraph"/>
              <w:spacing w:before="120" w:line="276" w:lineRule="auto"/>
              <w:ind w:left="22"/>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Illa de Formentor</w:t>
            </w:r>
          </w:p>
        </w:tc>
        <w:tc>
          <w:tcPr>
            <w:tcW w:w="1137" w:type="dxa"/>
            <w:tcBorders>
              <w:top w:val="single" w:sz="12" w:space="0" w:color="B2B2B2"/>
              <w:left w:val="single" w:sz="12" w:space="0" w:color="B2B2B2"/>
              <w:bottom w:val="single" w:sz="12" w:space="0" w:color="B2B2B2"/>
              <w:right w:val="single" w:sz="12" w:space="0" w:color="B2B2B2"/>
            </w:tcBorders>
            <w:vAlign w:val="center"/>
          </w:tcPr>
          <w:p w14:paraId="3DB0E385"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39°55.215'</w:t>
            </w:r>
          </w:p>
        </w:tc>
        <w:tc>
          <w:tcPr>
            <w:tcW w:w="1260" w:type="dxa"/>
            <w:tcBorders>
              <w:top w:val="single" w:sz="12" w:space="0" w:color="B2B2B2"/>
              <w:left w:val="single" w:sz="12" w:space="0" w:color="B2B2B2"/>
              <w:bottom w:val="single" w:sz="12" w:space="0" w:color="B2B2B2"/>
              <w:right w:val="single" w:sz="12" w:space="0" w:color="B2B2B2"/>
            </w:tcBorders>
            <w:vAlign w:val="center"/>
          </w:tcPr>
          <w:p w14:paraId="46153318"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003°08.724'</w:t>
            </w:r>
          </w:p>
        </w:tc>
        <w:tc>
          <w:tcPr>
            <w:tcW w:w="1102" w:type="dxa"/>
            <w:tcBorders>
              <w:top w:val="single" w:sz="12" w:space="0" w:color="B2B2B2"/>
              <w:left w:val="single" w:sz="12" w:space="0" w:color="B2B2B2"/>
              <w:bottom w:val="single" w:sz="12" w:space="0" w:color="B2B2B2"/>
              <w:right w:val="single" w:sz="12" w:space="0" w:color="B2B2B2"/>
            </w:tcBorders>
            <w:vAlign w:val="center"/>
          </w:tcPr>
          <w:p w14:paraId="3655E807"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39º55,171’</w:t>
            </w:r>
          </w:p>
        </w:tc>
        <w:tc>
          <w:tcPr>
            <w:tcW w:w="1020" w:type="dxa"/>
            <w:tcBorders>
              <w:top w:val="single" w:sz="12" w:space="0" w:color="B2B2B2"/>
              <w:left w:val="single" w:sz="12" w:space="0" w:color="B2B2B2"/>
              <w:bottom w:val="single" w:sz="12" w:space="0" w:color="B2B2B2"/>
              <w:right w:val="single" w:sz="12" w:space="0" w:color="B2B2B2"/>
            </w:tcBorders>
            <w:vAlign w:val="center"/>
          </w:tcPr>
          <w:p w14:paraId="18B312E3"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3º08,757’</w:t>
            </w:r>
          </w:p>
        </w:tc>
        <w:tc>
          <w:tcPr>
            <w:tcW w:w="1095" w:type="dxa"/>
            <w:tcBorders>
              <w:top w:val="single" w:sz="12" w:space="0" w:color="B2B2B2"/>
              <w:left w:val="single" w:sz="12" w:space="0" w:color="B2B2B2"/>
              <w:bottom w:val="single" w:sz="12" w:space="0" w:color="B2B2B2"/>
              <w:right w:val="single" w:sz="12" w:space="0" w:color="B2B2B2"/>
            </w:tcBorders>
            <w:vAlign w:val="center"/>
          </w:tcPr>
          <w:p w14:paraId="28E846BD"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39º55,234’</w:t>
            </w:r>
          </w:p>
        </w:tc>
        <w:tc>
          <w:tcPr>
            <w:tcW w:w="994" w:type="dxa"/>
            <w:tcBorders>
              <w:top w:val="single" w:sz="12" w:space="0" w:color="B2B2B2"/>
              <w:left w:val="single" w:sz="12" w:space="0" w:color="B2B2B2"/>
              <w:bottom w:val="single" w:sz="12" w:space="0" w:color="B2B2B2"/>
              <w:right w:val="single" w:sz="12" w:space="0" w:color="B2B2B2"/>
            </w:tcBorders>
            <w:vAlign w:val="center"/>
          </w:tcPr>
          <w:p w14:paraId="71EE83F1"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3º08,650’</w:t>
            </w:r>
          </w:p>
        </w:tc>
      </w:tr>
      <w:tr w:rsidR="00CA38EE" w14:paraId="20244BAD" w14:textId="77777777">
        <w:trPr>
          <w:trHeight w:val="266"/>
        </w:trPr>
        <w:tc>
          <w:tcPr>
            <w:tcW w:w="1134" w:type="dxa"/>
            <w:tcBorders>
              <w:top w:val="single" w:sz="12" w:space="0" w:color="B2B2B2"/>
              <w:left w:val="single" w:sz="6" w:space="0" w:color="B2B2B2"/>
              <w:bottom w:val="single" w:sz="12" w:space="0" w:color="B2B2B2"/>
              <w:right w:val="single" w:sz="12" w:space="0" w:color="B2B2B2"/>
            </w:tcBorders>
            <w:vAlign w:val="center"/>
          </w:tcPr>
          <w:p w14:paraId="0EF1DA5D" w14:textId="77777777" w:rsidR="00CA38EE" w:rsidRDefault="00994EE6">
            <w:pPr>
              <w:pStyle w:val="TableParagraph"/>
              <w:spacing w:before="120" w:after="120"/>
              <w:ind w:left="23"/>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Pollença</w:t>
            </w:r>
          </w:p>
        </w:tc>
        <w:tc>
          <w:tcPr>
            <w:tcW w:w="1844" w:type="dxa"/>
            <w:tcBorders>
              <w:top w:val="single" w:sz="12" w:space="0" w:color="B2B2B2"/>
              <w:left w:val="single" w:sz="6" w:space="0" w:color="B2B2B2"/>
              <w:bottom w:val="single" w:sz="12" w:space="0" w:color="B2B2B2"/>
              <w:right w:val="single" w:sz="12" w:space="0" w:color="B2B2B2"/>
            </w:tcBorders>
            <w:vAlign w:val="center"/>
          </w:tcPr>
          <w:p w14:paraId="6F52D2F0" w14:textId="77777777" w:rsidR="00CA38EE" w:rsidRDefault="00994EE6">
            <w:pPr>
              <w:pStyle w:val="TableParagraph"/>
              <w:spacing w:before="120" w:line="276" w:lineRule="auto"/>
              <w:ind w:left="22"/>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Cala Nova</w:t>
            </w:r>
          </w:p>
        </w:tc>
        <w:tc>
          <w:tcPr>
            <w:tcW w:w="1137" w:type="dxa"/>
            <w:tcBorders>
              <w:top w:val="single" w:sz="12" w:space="0" w:color="B2B2B2"/>
              <w:left w:val="single" w:sz="12" w:space="0" w:color="B2B2B2"/>
              <w:bottom w:val="single" w:sz="12" w:space="0" w:color="B2B2B2"/>
              <w:right w:val="single" w:sz="12" w:space="0" w:color="B2B2B2"/>
            </w:tcBorders>
            <w:vAlign w:val="center"/>
          </w:tcPr>
          <w:p w14:paraId="57732105"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39°54.961'</w:t>
            </w:r>
          </w:p>
        </w:tc>
        <w:tc>
          <w:tcPr>
            <w:tcW w:w="1260" w:type="dxa"/>
            <w:tcBorders>
              <w:top w:val="single" w:sz="12" w:space="0" w:color="B2B2B2"/>
              <w:left w:val="single" w:sz="12" w:space="0" w:color="B2B2B2"/>
              <w:bottom w:val="single" w:sz="12" w:space="0" w:color="B2B2B2"/>
              <w:right w:val="single" w:sz="12" w:space="0" w:color="B2B2B2"/>
            </w:tcBorders>
            <w:vAlign w:val="center"/>
          </w:tcPr>
          <w:p w14:paraId="76C6A2F1" w14:textId="77777777" w:rsidR="00CA38EE" w:rsidRDefault="00994EE6">
            <w:pPr>
              <w:pStyle w:val="TableParagraph"/>
              <w:spacing w:before="120" w:line="276" w:lineRule="auto"/>
              <w:ind w:right="5"/>
              <w:jc w:val="center"/>
              <w:rPr>
                <w:rStyle w:val="Lletraperdefectedelpargraf"/>
                <w:rFonts w:ascii="Noto Sans" w:hAnsi="Noto Sans" w:cs="Calibri Light"/>
                <w:color w:val="70AD47" w:themeColor="accent6"/>
                <w:sz w:val="20"/>
                <w:szCs w:val="20"/>
                <w:lang w:val="es-ES"/>
              </w:rPr>
            </w:pPr>
            <w:r>
              <w:rPr>
                <w:rStyle w:val="Lletraperdefectedelpargraf"/>
                <w:rFonts w:ascii="Noto Sans" w:hAnsi="Noto Sans" w:cs="Calibri Light"/>
                <w:color w:val="70AD47" w:themeColor="accent6"/>
                <w:sz w:val="20"/>
                <w:szCs w:val="20"/>
                <w:lang w:val="es-ES"/>
              </w:rPr>
              <w:t>003°07.464'</w:t>
            </w:r>
          </w:p>
        </w:tc>
        <w:tc>
          <w:tcPr>
            <w:tcW w:w="1102" w:type="dxa"/>
            <w:tcBorders>
              <w:top w:val="single" w:sz="12" w:space="0" w:color="B2B2B2"/>
              <w:left w:val="single" w:sz="12" w:space="0" w:color="B2B2B2"/>
              <w:bottom w:val="single" w:sz="12" w:space="0" w:color="B2B2B2"/>
              <w:right w:val="single" w:sz="12" w:space="0" w:color="B2B2B2"/>
            </w:tcBorders>
          </w:tcPr>
          <w:p w14:paraId="3D65E77F"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39°54.941’</w:t>
            </w:r>
          </w:p>
        </w:tc>
        <w:tc>
          <w:tcPr>
            <w:tcW w:w="1020" w:type="dxa"/>
            <w:tcBorders>
              <w:top w:val="single" w:sz="12" w:space="0" w:color="B2B2B2"/>
              <w:left w:val="single" w:sz="12" w:space="0" w:color="B2B2B2"/>
              <w:bottom w:val="single" w:sz="12" w:space="0" w:color="B2B2B2"/>
              <w:right w:val="single" w:sz="12" w:space="0" w:color="B2B2B2"/>
            </w:tcBorders>
          </w:tcPr>
          <w:p w14:paraId="096EB501" w14:textId="77777777" w:rsidR="00CA38EE" w:rsidRDefault="00994EE6">
            <w:pPr>
              <w:pStyle w:val="TableParagraph"/>
              <w:spacing w:before="120" w:line="276" w:lineRule="auto"/>
              <w:ind w:right="4"/>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3°07,522'</w:t>
            </w:r>
          </w:p>
        </w:tc>
        <w:tc>
          <w:tcPr>
            <w:tcW w:w="1095" w:type="dxa"/>
            <w:tcBorders>
              <w:top w:val="single" w:sz="12" w:space="0" w:color="B2B2B2"/>
              <w:left w:val="single" w:sz="12" w:space="0" w:color="B2B2B2"/>
              <w:bottom w:val="single" w:sz="12" w:space="0" w:color="B2B2B2"/>
              <w:right w:val="single" w:sz="12" w:space="0" w:color="B2B2B2"/>
            </w:tcBorders>
          </w:tcPr>
          <w:p w14:paraId="77228DE0"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39°54.964'</w:t>
            </w:r>
          </w:p>
        </w:tc>
        <w:tc>
          <w:tcPr>
            <w:tcW w:w="994" w:type="dxa"/>
            <w:tcBorders>
              <w:top w:val="single" w:sz="12" w:space="0" w:color="B2B2B2"/>
              <w:left w:val="single" w:sz="12" w:space="0" w:color="B2B2B2"/>
              <w:bottom w:val="single" w:sz="12" w:space="0" w:color="B2B2B2"/>
              <w:right w:val="single" w:sz="12" w:space="0" w:color="B2B2B2"/>
            </w:tcBorders>
          </w:tcPr>
          <w:p w14:paraId="03A9B228" w14:textId="77777777" w:rsidR="00CA38EE" w:rsidRDefault="00994EE6">
            <w:pPr>
              <w:pStyle w:val="TableParagraph"/>
              <w:spacing w:before="120" w:line="276" w:lineRule="auto"/>
              <w:ind w:right="3"/>
              <w:rPr>
                <w:rFonts w:ascii="Noto Sans" w:hAnsi="Noto Sans" w:cs="Calibri Light"/>
                <w:color w:val="70AD47" w:themeColor="accent6"/>
                <w:sz w:val="20"/>
                <w:szCs w:val="20"/>
                <w:lang w:val="es-ES"/>
              </w:rPr>
            </w:pPr>
            <w:r>
              <w:rPr>
                <w:rFonts w:ascii="Noto Sans" w:hAnsi="Noto Sans" w:cs="Calibri Light"/>
                <w:color w:val="70AD47" w:themeColor="accent6"/>
                <w:sz w:val="20"/>
                <w:szCs w:val="20"/>
                <w:lang w:val="es-ES"/>
              </w:rPr>
              <w:t>3°07.575'</w:t>
            </w:r>
          </w:p>
        </w:tc>
      </w:tr>
    </w:tbl>
    <w:p w14:paraId="2B77E698" w14:textId="77777777" w:rsidR="00CA38EE" w:rsidRDefault="00CA38EE">
      <w:pPr>
        <w:pStyle w:val="LO-Normal"/>
        <w:spacing w:before="120" w:after="0" w:line="276" w:lineRule="auto"/>
        <w:jc w:val="center"/>
        <w:rPr>
          <w:color w:val="C9211E"/>
          <w:lang w:val="es-ES"/>
        </w:rPr>
      </w:pPr>
    </w:p>
    <w:p w14:paraId="31D61848" w14:textId="77777777" w:rsidR="00CA38EE" w:rsidRDefault="00CA38EE">
      <w:pPr>
        <w:pStyle w:val="LO-Normal"/>
        <w:spacing w:before="120" w:after="0" w:line="276" w:lineRule="auto"/>
        <w:jc w:val="center"/>
        <w:rPr>
          <w:color w:val="C9211E"/>
          <w:lang w:val="es-ES"/>
        </w:rPr>
      </w:pPr>
    </w:p>
    <w:p w14:paraId="7D6E4B6F" w14:textId="77777777" w:rsidR="00CA38EE" w:rsidRDefault="00994EE6">
      <w:pPr>
        <w:pStyle w:val="Textoindependiente"/>
        <w:spacing w:after="240"/>
        <w:jc w:val="center"/>
        <w:rPr>
          <w:rFonts w:ascii="Noto Sans" w:eastAsia="Noto Sans" w:hAnsi="Noto Sans" w:cs="Noto Sans"/>
          <w:b/>
          <w:bCs/>
          <w:lang w:val="es-ES"/>
        </w:rPr>
      </w:pPr>
      <w:r>
        <w:rPr>
          <w:rFonts w:ascii="Noto Sans" w:eastAsia="Noto Sans" w:hAnsi="Noto Sans" w:cs="Noto Sans"/>
          <w:b/>
          <w:bCs/>
          <w:lang w:val="es-ES"/>
        </w:rPr>
        <w:t>ANEXO 5</w:t>
      </w:r>
    </w:p>
    <w:p w14:paraId="0B50D3E5" w14:textId="77777777" w:rsidR="00CA38EE" w:rsidRDefault="00994EE6">
      <w:pPr>
        <w:pStyle w:val="Textoindependiente"/>
        <w:spacing w:after="240"/>
        <w:ind w:right="-227"/>
        <w:jc w:val="center"/>
        <w:rPr>
          <w:rFonts w:ascii="Noto Sans" w:eastAsia="Noto Sans" w:hAnsi="Noto Sans" w:cs="Noto Sans"/>
          <w:b/>
          <w:bCs/>
          <w:lang w:val="es-ES"/>
        </w:rPr>
      </w:pPr>
      <w:r>
        <w:rPr>
          <w:rFonts w:ascii="Noto Sans" w:eastAsia="Noto Sans" w:hAnsi="Noto Sans" w:cs="Noto Sans"/>
          <w:b/>
          <w:bCs/>
          <w:color w:val="auto"/>
          <w:lang w:val="es-ES"/>
        </w:rPr>
        <w:t>Censo de embarcaciones que pueden pescar en el ámbito de este Plan de Gestión para la pesca profesional en las aguas interiores de las bahías de Pollença y Alcúdia</w:t>
      </w:r>
    </w:p>
    <w:p w14:paraId="36DDA154" w14:textId="77777777" w:rsidR="00CA38EE" w:rsidRDefault="00994EE6">
      <w:pPr>
        <w:pStyle w:val="Textoindependiente"/>
        <w:spacing w:after="240"/>
        <w:rPr>
          <w:rFonts w:ascii="Noto Sans" w:eastAsia="Noto Sans" w:hAnsi="Noto Sans" w:cs="Noto Sans"/>
          <w:lang w:val="es-ES"/>
        </w:rPr>
      </w:pPr>
      <w:r>
        <w:rPr>
          <w:rFonts w:ascii="Noto Sans" w:eastAsia="Noto Sans" w:hAnsi="Noto Sans" w:cs="Noto Sans"/>
          <w:lang w:val="es-ES"/>
        </w:rPr>
        <w:t>El publicado en el BOIB el pasado 7 de junio de 2025, mediante la Resolución del consejero de Agricultura, Pesca y Medio Natural de 5 de junio de 2025, por la que se modifican los censos de embarcaciones pesqueras con puerto base en las Illes Balears.</w:t>
      </w:r>
    </w:p>
    <w:p w14:paraId="6F82E2A3" w14:textId="7900D565" w:rsidR="00994EE6" w:rsidRDefault="00994EE6">
      <w:pPr>
        <w:suppressAutoHyphens/>
        <w:rPr>
          <w:rFonts w:ascii="Noto Sans" w:eastAsia="Noto Sans" w:hAnsi="Noto Sans" w:cs="Noto Sans"/>
          <w:lang w:val="es-ES"/>
        </w:rPr>
      </w:pPr>
      <w:r>
        <w:rPr>
          <w:rFonts w:ascii="Noto Sans" w:eastAsia="Noto Sans" w:hAnsi="Noto Sans" w:cs="Noto Sans"/>
          <w:lang w:val="es-ES"/>
        </w:rPr>
        <w:br w:type="page"/>
      </w:r>
    </w:p>
    <w:p w14:paraId="3007841F" w14:textId="77777777" w:rsidR="00CA38EE" w:rsidRDefault="00CA38EE">
      <w:pPr>
        <w:pStyle w:val="Textoindependiente"/>
        <w:spacing w:after="240"/>
        <w:rPr>
          <w:rFonts w:ascii="Noto Sans" w:eastAsia="Noto Sans" w:hAnsi="Noto Sans" w:cs="Noto Sans"/>
          <w:lang w:val="es-ES"/>
        </w:rPr>
      </w:pPr>
    </w:p>
    <w:p w14:paraId="0B3D803A" w14:textId="77777777" w:rsidR="00CA38EE" w:rsidRDefault="00994EE6">
      <w:pPr>
        <w:pStyle w:val="Textoindependiente"/>
        <w:spacing w:after="281"/>
        <w:jc w:val="center"/>
        <w:rPr>
          <w:rFonts w:ascii="Noto Sans" w:eastAsia="Noto Sans" w:hAnsi="Noto Sans" w:cs="Noto Sans"/>
          <w:b/>
          <w:bCs/>
          <w:lang w:val="es-ES"/>
        </w:rPr>
      </w:pPr>
      <w:r>
        <w:rPr>
          <w:rFonts w:ascii="Noto Sans" w:eastAsia="Noto Sans" w:hAnsi="Noto Sans" w:cs="Noto Sans"/>
          <w:b/>
          <w:bCs/>
          <w:lang w:val="es-ES"/>
        </w:rPr>
        <w:t>ANE</w:t>
      </w:r>
      <w:r>
        <w:rPr>
          <w:rFonts w:ascii="Noto Sans" w:eastAsia="Noto Sans" w:hAnsi="Noto Sans" w:cs="Noto Sans"/>
          <w:b/>
          <w:bCs/>
          <w:color w:val="auto"/>
          <w:lang w:val="es-ES"/>
        </w:rPr>
        <w:t>XO 6</w:t>
      </w:r>
    </w:p>
    <w:p w14:paraId="516CF208" w14:textId="77777777" w:rsidR="00CA38EE" w:rsidRDefault="00994EE6">
      <w:pPr>
        <w:pStyle w:val="Textoindependiente"/>
        <w:spacing w:after="281"/>
        <w:ind w:right="-170"/>
        <w:jc w:val="center"/>
        <w:rPr>
          <w:rFonts w:ascii="Noto Sans" w:eastAsia="Noto Sans" w:hAnsi="Noto Sans" w:cs="Noto Sans"/>
          <w:b/>
          <w:bCs/>
          <w:lang w:val="es-ES"/>
        </w:rPr>
      </w:pPr>
      <w:r>
        <w:rPr>
          <w:rFonts w:ascii="Noto Sans" w:eastAsia="Noto Sans" w:hAnsi="Noto Sans" w:cs="Noto Sans"/>
          <w:b/>
          <w:bCs/>
          <w:lang w:val="es-ES"/>
        </w:rPr>
        <w:t>Plan de control y seguimiento de la pesquería en el ámbito del Plan de Gestión para la pesca profesional en las aguas interiores de las bahías de Pollença y Alcúdia</w:t>
      </w:r>
    </w:p>
    <w:p w14:paraId="5B8E0940"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Los artes de pesca descritos en el anexo 1 serán objeto de un seguimiento específico dentro del presente Plan de control, con el objetivo de evaluar su rendimiento, impacto y adecuación a una explotación sostenible.</w:t>
      </w:r>
    </w:p>
    <w:p w14:paraId="7305CF1D"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Con el fin de garantizar una gestión adaptativa y basada en datos objetivos, se establece el presente plan de control y seguimiento de la actividad pesquera incluida en este Plan de Gestión. Este plan incluye los siguientes registros:</w:t>
      </w:r>
    </w:p>
    <w:p w14:paraId="40E776D5" w14:textId="77777777" w:rsidR="00CA38EE" w:rsidRDefault="00994EE6">
      <w:pPr>
        <w:pStyle w:val="Textoindependiente"/>
        <w:spacing w:after="281"/>
        <w:rPr>
          <w:rFonts w:ascii="Noto Sans" w:eastAsia="Noto Sans" w:hAnsi="Noto Sans" w:cs="Noto Sans"/>
          <w:b/>
          <w:bCs/>
          <w:lang w:val="es-ES"/>
        </w:rPr>
      </w:pPr>
      <w:r>
        <w:rPr>
          <w:rFonts w:ascii="Noto Sans" w:eastAsia="Noto Sans" w:hAnsi="Noto Sans" w:cs="Noto Sans"/>
          <w:b/>
          <w:bCs/>
          <w:lang w:val="es-ES"/>
        </w:rPr>
        <w:t>REGISTRO N.º 1. Control administrativo de la flota</w:t>
      </w:r>
    </w:p>
    <w:p w14:paraId="0AC6A76B"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Se mantendrá actualizado un censo de embarcaciones autorizadas a operar en el ámbito del Plan de Gestión. Este registro identificará las embarcaciones que han ejercido actividad pesquera efectiva e incluirá el número de días de pesca mensuales y anuales por embarcación.</w:t>
      </w:r>
    </w:p>
    <w:p w14:paraId="021165C7" w14:textId="77777777" w:rsidR="00CA38EE" w:rsidRDefault="00994EE6">
      <w:pPr>
        <w:pStyle w:val="Textoindependiente"/>
        <w:spacing w:after="281"/>
        <w:rPr>
          <w:rFonts w:ascii="Noto Sans" w:eastAsia="Noto Sans" w:hAnsi="Noto Sans" w:cs="Noto Sans"/>
          <w:b/>
          <w:bCs/>
          <w:lang w:val="es-ES"/>
        </w:rPr>
      </w:pPr>
      <w:r>
        <w:rPr>
          <w:rFonts w:ascii="Noto Sans" w:eastAsia="Noto Sans" w:hAnsi="Noto Sans" w:cs="Noto Sans"/>
          <w:b/>
          <w:bCs/>
          <w:lang w:val="es-ES"/>
        </w:rPr>
        <w:t>REGISTRO N.º 2. Estudio estadístico de las notas de venta</w:t>
      </w:r>
    </w:p>
    <w:p w14:paraId="707A35B8"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A partir de los datos recogidos en las notas de venta, se realizará un seguimiento de la evolución de la pesquería, con análisis desagregado por modalidad. Se recopilarán, como mínimo, los siguientes parámetros:</w:t>
      </w:r>
    </w:p>
    <w:p w14:paraId="1B6BB70E" w14:textId="77777777" w:rsidR="00CA38EE" w:rsidRDefault="00994EE6">
      <w:pPr>
        <w:pStyle w:val="Textoindependiente"/>
        <w:numPr>
          <w:ilvl w:val="0"/>
          <w:numId w:val="5"/>
        </w:numPr>
        <w:spacing w:after="0"/>
        <w:rPr>
          <w:rFonts w:ascii="Noto Sans" w:eastAsia="Noto Sans" w:hAnsi="Noto Sans" w:cs="Noto Sans"/>
          <w:lang w:val="es-ES"/>
        </w:rPr>
      </w:pPr>
      <w:r>
        <w:rPr>
          <w:rFonts w:ascii="Noto Sans" w:eastAsia="Noto Sans" w:hAnsi="Noto Sans" w:cs="Noto Sans"/>
          <w:lang w:val="es-ES"/>
        </w:rPr>
        <w:t>Número de embarcaciones activas y jornadas de pesca por embarcación.</w:t>
      </w:r>
    </w:p>
    <w:p w14:paraId="0E5A4B29" w14:textId="77777777" w:rsidR="00CA38EE" w:rsidRDefault="00994EE6">
      <w:pPr>
        <w:pStyle w:val="Textoindependiente"/>
        <w:numPr>
          <w:ilvl w:val="0"/>
          <w:numId w:val="5"/>
        </w:numPr>
        <w:spacing w:after="0"/>
        <w:rPr>
          <w:rFonts w:ascii="Noto Sans" w:eastAsia="Noto Sans" w:hAnsi="Noto Sans" w:cs="Noto Sans"/>
          <w:lang w:val="es-ES"/>
        </w:rPr>
      </w:pPr>
      <w:r>
        <w:rPr>
          <w:rFonts w:ascii="Noto Sans" w:eastAsia="Noto Sans" w:hAnsi="Noto Sans" w:cs="Noto Sans"/>
          <w:lang w:val="es-ES"/>
        </w:rPr>
        <w:t>Capturas diarias por embarcación y totales.</w:t>
      </w:r>
    </w:p>
    <w:p w14:paraId="39022AC7" w14:textId="77777777" w:rsidR="00CA38EE" w:rsidRDefault="00994EE6">
      <w:pPr>
        <w:pStyle w:val="Textoindependiente"/>
        <w:numPr>
          <w:ilvl w:val="0"/>
          <w:numId w:val="5"/>
        </w:numPr>
        <w:spacing w:after="281"/>
        <w:rPr>
          <w:rFonts w:ascii="Noto Sans" w:eastAsia="Noto Sans" w:hAnsi="Noto Sans" w:cs="Noto Sans"/>
          <w:lang w:val="es-ES"/>
        </w:rPr>
      </w:pPr>
      <w:r>
        <w:rPr>
          <w:rFonts w:ascii="Noto Sans" w:eastAsia="Noto Sans" w:hAnsi="Noto Sans" w:cs="Noto Sans"/>
          <w:lang w:val="es-ES"/>
        </w:rPr>
        <w:t>Valor económico diario por embarcación y totales.</w:t>
      </w:r>
    </w:p>
    <w:p w14:paraId="232FE7B1"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Esta información se recogerá y analizará con carácter anual, mediante la elaboración de un informe técnico.</w:t>
      </w:r>
    </w:p>
    <w:p w14:paraId="7FD82B24" w14:textId="77777777" w:rsidR="00CA38EE" w:rsidRDefault="00994EE6">
      <w:pPr>
        <w:pStyle w:val="Textoindependiente"/>
        <w:spacing w:after="281"/>
        <w:rPr>
          <w:rFonts w:ascii="Noto Sans" w:eastAsia="Noto Sans" w:hAnsi="Noto Sans" w:cs="Noto Sans"/>
          <w:b/>
          <w:bCs/>
          <w:lang w:val="es-ES"/>
        </w:rPr>
      </w:pPr>
      <w:r>
        <w:rPr>
          <w:rFonts w:ascii="Noto Sans" w:eastAsia="Noto Sans" w:hAnsi="Noto Sans" w:cs="Noto Sans"/>
          <w:b/>
          <w:bCs/>
          <w:lang w:val="es-ES"/>
        </w:rPr>
        <w:t>REGISTRO N.º 3. Estudio de los dispositivos de localización de buques (caja verde)</w:t>
      </w:r>
    </w:p>
    <w:p w14:paraId="22FC0CF9"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A partir de los datos obtenidos mediante los dispositivos electrónicos de localización (cajas verdes), se mantendrá un registro de la actividad espaciotemporal de la flota. Este registro incluirá, como mínimo:</w:t>
      </w:r>
    </w:p>
    <w:p w14:paraId="3A8A80E7" w14:textId="77777777" w:rsidR="00CA38EE" w:rsidRDefault="00994EE6">
      <w:pPr>
        <w:pStyle w:val="Textoindependiente"/>
        <w:numPr>
          <w:ilvl w:val="0"/>
          <w:numId w:val="4"/>
        </w:numPr>
        <w:spacing w:after="0"/>
        <w:rPr>
          <w:rFonts w:ascii="Noto Sans" w:eastAsia="Noto Sans" w:hAnsi="Noto Sans" w:cs="Noto Sans"/>
          <w:lang w:val="es-ES"/>
        </w:rPr>
      </w:pPr>
      <w:r>
        <w:rPr>
          <w:rFonts w:ascii="Noto Sans" w:eastAsia="Noto Sans" w:hAnsi="Noto Sans" w:cs="Noto Sans"/>
          <w:lang w:val="es-ES"/>
        </w:rPr>
        <w:t>Presencia y actividad en las áreas de pesca.</w:t>
      </w:r>
    </w:p>
    <w:p w14:paraId="6E7FEC97" w14:textId="77777777" w:rsidR="00CA38EE" w:rsidRDefault="00994EE6">
      <w:pPr>
        <w:pStyle w:val="Textoindependiente"/>
        <w:numPr>
          <w:ilvl w:val="0"/>
          <w:numId w:val="4"/>
        </w:numPr>
        <w:spacing w:after="0"/>
        <w:rPr>
          <w:rFonts w:ascii="Noto Sans" w:eastAsia="Noto Sans" w:hAnsi="Noto Sans" w:cs="Noto Sans"/>
          <w:lang w:val="es-ES"/>
        </w:rPr>
      </w:pPr>
      <w:r>
        <w:rPr>
          <w:rFonts w:ascii="Noto Sans" w:eastAsia="Noto Sans" w:hAnsi="Noto Sans" w:cs="Noto Sans"/>
          <w:lang w:val="es-ES"/>
        </w:rPr>
        <w:t>Tiempo efectivo de pesca.</w:t>
      </w:r>
    </w:p>
    <w:p w14:paraId="3CA4526B" w14:textId="77777777" w:rsidR="00CA38EE" w:rsidRDefault="00994EE6">
      <w:pPr>
        <w:pStyle w:val="Textoindependiente"/>
        <w:numPr>
          <w:ilvl w:val="0"/>
          <w:numId w:val="4"/>
        </w:numPr>
        <w:spacing w:after="281"/>
        <w:rPr>
          <w:rFonts w:ascii="Noto Sans" w:eastAsia="Noto Sans" w:hAnsi="Noto Sans" w:cs="Noto Sans"/>
          <w:lang w:val="es-ES"/>
        </w:rPr>
      </w:pPr>
      <w:r>
        <w:rPr>
          <w:rFonts w:ascii="Noto Sans" w:eastAsia="Noto Sans" w:hAnsi="Noto Sans" w:cs="Noto Sans"/>
          <w:lang w:val="es-ES"/>
        </w:rPr>
        <w:t>Otros indicadores relacionados con el esfuerzo pesquero.</w:t>
      </w:r>
    </w:p>
    <w:p w14:paraId="06FAAC90"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b/>
          <w:bCs/>
          <w:lang w:val="es-ES"/>
        </w:rPr>
        <w:t>REGISTRO N.º 4. Embarque científico</w:t>
      </w:r>
    </w:p>
    <w:p w14:paraId="59BAD40C"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lastRenderedPageBreak/>
        <w:t>Técnicos de la Conselleria de Agricultura, Pesca y Medio Natural, o personal científico de instituciones autorizadas o contratadas por la Dirección General de Pesca, podrán embarcarse en buques pesqueros incluidos en este Plan de Gestión para realizar las siguientes actividades de muestreo y verificación. Estas tareas prestarán especial atención a los artes recogidos en el anexo 1 del presente Plan de Gestión, con el objetivo de evaluar su eficiencia, selectividad e impacto ambiental:</w:t>
      </w:r>
    </w:p>
    <w:p w14:paraId="6F65B1FD" w14:textId="77777777" w:rsidR="00CA38EE" w:rsidRDefault="00994EE6">
      <w:pPr>
        <w:pStyle w:val="Textoindependiente"/>
        <w:numPr>
          <w:ilvl w:val="0"/>
          <w:numId w:val="3"/>
        </w:numPr>
        <w:spacing w:after="0"/>
        <w:rPr>
          <w:rFonts w:ascii="Noto Sans" w:eastAsia="Noto Sans" w:hAnsi="Noto Sans" w:cs="Noto Sans"/>
          <w:lang w:val="es-ES"/>
        </w:rPr>
      </w:pPr>
      <w:r>
        <w:rPr>
          <w:rFonts w:ascii="Noto Sans" w:eastAsia="Noto Sans" w:hAnsi="Noto Sans" w:cs="Noto Sans"/>
          <w:lang w:val="es-ES"/>
        </w:rPr>
        <w:t>Observación de las maniobras de pesca y estudio de las capturas de especies objetivo.</w:t>
      </w:r>
    </w:p>
    <w:p w14:paraId="2B6A2AC0" w14:textId="77777777" w:rsidR="00CA38EE" w:rsidRDefault="00994EE6">
      <w:pPr>
        <w:pStyle w:val="Textoindependiente"/>
        <w:numPr>
          <w:ilvl w:val="1"/>
          <w:numId w:val="3"/>
        </w:numPr>
        <w:spacing w:after="0"/>
        <w:rPr>
          <w:rFonts w:ascii="Noto Sans" w:eastAsia="Noto Sans" w:hAnsi="Noto Sans" w:cs="Noto Sans"/>
          <w:lang w:val="es-ES"/>
        </w:rPr>
      </w:pPr>
      <w:r>
        <w:rPr>
          <w:rFonts w:ascii="Noto Sans" w:eastAsia="Noto Sans" w:hAnsi="Noto Sans" w:cs="Noto Sans"/>
          <w:lang w:val="es-ES"/>
        </w:rPr>
        <w:t>Composición específica de las capturas.</w:t>
      </w:r>
    </w:p>
    <w:p w14:paraId="22F6DAB3" w14:textId="77777777" w:rsidR="00CA38EE" w:rsidRDefault="00994EE6">
      <w:pPr>
        <w:pStyle w:val="Textoindependiente"/>
        <w:numPr>
          <w:ilvl w:val="1"/>
          <w:numId w:val="3"/>
        </w:numPr>
        <w:spacing w:after="0"/>
        <w:rPr>
          <w:rFonts w:ascii="Noto Sans" w:eastAsia="Noto Sans" w:hAnsi="Noto Sans" w:cs="Noto Sans"/>
          <w:lang w:val="es-ES"/>
        </w:rPr>
      </w:pPr>
      <w:r>
        <w:rPr>
          <w:rFonts w:ascii="Noto Sans" w:eastAsia="Noto Sans" w:hAnsi="Noto Sans" w:cs="Noto Sans"/>
          <w:lang w:val="es-ES"/>
        </w:rPr>
        <w:t>Datos biométricos de individuos representativos de las especies objetivo y de la captura accesoria (bycatch).</w:t>
      </w:r>
    </w:p>
    <w:p w14:paraId="7330BB6C" w14:textId="77777777" w:rsidR="00CA38EE" w:rsidRDefault="00994EE6">
      <w:pPr>
        <w:pStyle w:val="Textoindependiente"/>
        <w:numPr>
          <w:ilvl w:val="1"/>
          <w:numId w:val="3"/>
        </w:numPr>
        <w:spacing w:after="281"/>
        <w:rPr>
          <w:rFonts w:ascii="Noto Sans" w:eastAsia="Noto Sans" w:hAnsi="Noto Sans" w:cs="Noto Sans"/>
          <w:lang w:val="es-ES"/>
        </w:rPr>
      </w:pPr>
      <w:r>
        <w:rPr>
          <w:rFonts w:ascii="Noto Sans" w:eastAsia="Noto Sans" w:hAnsi="Noto Sans" w:cs="Noto Sans"/>
          <w:lang w:val="es-ES"/>
        </w:rPr>
        <w:t>Sexo y estado gonadal cuando proceda, especialmente para especies de interés biológico o comercial.</w:t>
      </w:r>
    </w:p>
    <w:p w14:paraId="2F93197E" w14:textId="77777777" w:rsidR="00CA38EE" w:rsidRDefault="00994EE6">
      <w:pPr>
        <w:pStyle w:val="Textoindependiente"/>
        <w:numPr>
          <w:ilvl w:val="0"/>
          <w:numId w:val="2"/>
        </w:numPr>
        <w:spacing w:after="0"/>
        <w:rPr>
          <w:rFonts w:ascii="Noto Sans" w:eastAsia="Noto Sans" w:hAnsi="Noto Sans" w:cs="Noto Sans"/>
          <w:lang w:val="es-ES"/>
        </w:rPr>
      </w:pPr>
      <w:r>
        <w:rPr>
          <w:rFonts w:ascii="Noto Sans" w:eastAsia="Noto Sans" w:hAnsi="Noto Sans" w:cs="Noto Sans"/>
          <w:lang w:val="es-ES"/>
        </w:rPr>
        <w:t>Valoración de posibles interacciones con especies protegidas (aves marinas, mamíferos marinos, tortugas, condrictios).</w:t>
      </w:r>
    </w:p>
    <w:p w14:paraId="3945C8F8" w14:textId="77777777" w:rsidR="00CA38EE" w:rsidRDefault="00994EE6">
      <w:pPr>
        <w:pStyle w:val="Textoindependiente"/>
        <w:numPr>
          <w:ilvl w:val="0"/>
          <w:numId w:val="2"/>
        </w:numPr>
        <w:spacing w:after="0"/>
        <w:rPr>
          <w:rFonts w:ascii="Noto Sans" w:eastAsia="Noto Sans" w:hAnsi="Noto Sans" w:cs="Noto Sans"/>
          <w:lang w:val="es-ES"/>
        </w:rPr>
      </w:pPr>
      <w:r>
        <w:rPr>
          <w:rFonts w:ascii="Noto Sans" w:eastAsia="Noto Sans" w:hAnsi="Noto Sans" w:cs="Noto Sans"/>
          <w:lang w:val="es-ES"/>
        </w:rPr>
        <w:t>Valoración del impacto ambiental (restos de fanerógamas, algas u otros organismos marinos).</w:t>
      </w:r>
    </w:p>
    <w:p w14:paraId="453BB5E6" w14:textId="77777777" w:rsidR="00CA38EE" w:rsidRDefault="00994EE6">
      <w:pPr>
        <w:pStyle w:val="Textoindependiente"/>
        <w:numPr>
          <w:ilvl w:val="0"/>
          <w:numId w:val="2"/>
        </w:numPr>
        <w:spacing w:after="281"/>
        <w:rPr>
          <w:rFonts w:ascii="Noto Sans" w:eastAsia="Noto Sans" w:hAnsi="Noto Sans" w:cs="Noto Sans"/>
          <w:lang w:val="es-ES"/>
        </w:rPr>
      </w:pPr>
      <w:r>
        <w:rPr>
          <w:rFonts w:ascii="Noto Sans" w:eastAsia="Noto Sans" w:hAnsi="Noto Sans" w:cs="Noto Sans"/>
          <w:lang w:val="es-ES"/>
        </w:rPr>
        <w:t>Toma de fotografías y documentación gráfica.</w:t>
      </w:r>
    </w:p>
    <w:p w14:paraId="1EBE104C" w14:textId="77777777" w:rsidR="00CA38EE" w:rsidRDefault="00994EE6">
      <w:pPr>
        <w:pStyle w:val="Textoindependiente"/>
        <w:spacing w:after="281"/>
        <w:rPr>
          <w:rFonts w:ascii="Noto Sans" w:eastAsia="Noto Sans" w:hAnsi="Noto Sans" w:cs="Noto Sans"/>
          <w:b/>
          <w:bCs/>
          <w:lang w:val="es-ES"/>
        </w:rPr>
      </w:pPr>
      <w:r>
        <w:rPr>
          <w:rFonts w:ascii="Noto Sans" w:eastAsia="Noto Sans" w:hAnsi="Noto Sans" w:cs="Noto Sans"/>
          <w:b/>
          <w:bCs/>
          <w:lang w:val="es-ES"/>
        </w:rPr>
        <w:t>REGISTRO N.º 5. Inspección pesquera</w:t>
      </w:r>
    </w:p>
    <w:p w14:paraId="7C8401FB" w14:textId="77777777" w:rsidR="00CA38EE" w:rsidRDefault="00994EE6">
      <w:pPr>
        <w:pStyle w:val="Textoindependiente"/>
        <w:spacing w:after="281"/>
        <w:rPr>
          <w:rFonts w:ascii="Noto Sans" w:eastAsia="Noto Sans" w:hAnsi="Noto Sans" w:cs="Noto Sans"/>
          <w:lang w:val="es-ES"/>
        </w:rPr>
      </w:pPr>
      <w:r>
        <w:rPr>
          <w:rFonts w:ascii="Noto Sans" w:eastAsia="Noto Sans" w:hAnsi="Noto Sans" w:cs="Noto Sans"/>
          <w:lang w:val="es-ES"/>
        </w:rPr>
        <w:t>Se programarán salidas regulares con embarcaciones de inspección o vigilancia pesquera para abordar e inspeccionar las embarcaciones pesqueras activas dentro del ámbito del Plan. Estas actuaciones incluirán:</w:t>
      </w:r>
    </w:p>
    <w:p w14:paraId="6F4CFA3C" w14:textId="77777777" w:rsidR="00CA38EE" w:rsidRDefault="00994EE6">
      <w:pPr>
        <w:pStyle w:val="Textoindependiente"/>
        <w:numPr>
          <w:ilvl w:val="0"/>
          <w:numId w:val="1"/>
        </w:numPr>
        <w:spacing w:after="0"/>
        <w:rPr>
          <w:rFonts w:ascii="Noto Sans" w:eastAsia="Noto Sans" w:hAnsi="Noto Sans" w:cs="Noto Sans"/>
          <w:lang w:val="es-ES"/>
        </w:rPr>
      </w:pPr>
      <w:r>
        <w:rPr>
          <w:rFonts w:ascii="Noto Sans" w:eastAsia="Noto Sans" w:hAnsi="Noto Sans" w:cs="Noto Sans"/>
          <w:lang w:val="es-ES"/>
        </w:rPr>
        <w:t>Comprobación del cumplimiento de las disposiciones establecidas en este Decreto.</w:t>
      </w:r>
    </w:p>
    <w:p w14:paraId="7728B9F8" w14:textId="77777777" w:rsidR="00CA38EE" w:rsidRDefault="00994EE6">
      <w:pPr>
        <w:pStyle w:val="Textoindependiente"/>
        <w:numPr>
          <w:ilvl w:val="0"/>
          <w:numId w:val="1"/>
        </w:numPr>
        <w:spacing w:after="0"/>
        <w:rPr>
          <w:rFonts w:ascii="Noto Sans" w:eastAsia="Noto Sans" w:hAnsi="Noto Sans" w:cs="Noto Sans"/>
          <w:lang w:val="es-ES"/>
        </w:rPr>
      </w:pPr>
      <w:r>
        <w:rPr>
          <w:rFonts w:ascii="Noto Sans" w:eastAsia="Noto Sans" w:hAnsi="Noto Sans" w:cs="Noto Sans"/>
          <w:lang w:val="es-ES"/>
        </w:rPr>
        <w:t>Verificaciones relacionadas con los sistemas de control (caja verde, permisos, artes autorizados, etc.). Se controlará específicamente el uso correcto de los artes definidos en el anexo 1, conforme a sus características técnicas y limitaciones establecidas.</w:t>
      </w:r>
    </w:p>
    <w:p w14:paraId="707347C4" w14:textId="77777777" w:rsidR="00CA38EE" w:rsidRDefault="00994EE6">
      <w:pPr>
        <w:pStyle w:val="Textoindependiente"/>
        <w:numPr>
          <w:ilvl w:val="0"/>
          <w:numId w:val="1"/>
        </w:numPr>
        <w:spacing w:after="281"/>
        <w:rPr>
          <w:rFonts w:ascii="Noto Sans" w:eastAsia="Noto Sans" w:hAnsi="Noto Sans" w:cs="Noto Sans"/>
          <w:lang w:val="es-ES"/>
        </w:rPr>
      </w:pPr>
      <w:r>
        <w:rPr>
          <w:rFonts w:ascii="Noto Sans" w:eastAsia="Noto Sans" w:hAnsi="Noto Sans" w:cs="Noto Sans"/>
          <w:lang w:val="es-ES"/>
        </w:rPr>
        <w:t>Coordinación con las tareas científicas descritas en el registro anterior, cuando sea pertinente.</w:t>
      </w:r>
    </w:p>
    <w:p w14:paraId="119520F8" w14:textId="77777777" w:rsidR="00CA38EE" w:rsidRDefault="00CA38EE">
      <w:pPr>
        <w:pStyle w:val="Textoindependiente"/>
        <w:spacing w:after="281"/>
        <w:rPr>
          <w:rFonts w:ascii="Noto Sans" w:eastAsia="Noto Sans" w:hAnsi="Noto Sans" w:cs="Noto Sans"/>
          <w:lang w:val="es-ES"/>
        </w:rPr>
      </w:pPr>
    </w:p>
    <w:sectPr w:rsidR="00CA38EE">
      <w:headerReference w:type="default" r:id="rId8"/>
      <w:footerReference w:type="default" r:id="rId9"/>
      <w:headerReference w:type="first" r:id="rId10"/>
      <w:footerReference w:type="first" r:id="rId11"/>
      <w:pgSz w:w="11906" w:h="16838"/>
      <w:pgMar w:top="2268" w:right="1418" w:bottom="1134" w:left="1418" w:header="567" w:footer="283"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A965" w14:textId="77777777" w:rsidR="00994EE6" w:rsidRDefault="00994EE6">
      <w:r>
        <w:separator/>
      </w:r>
    </w:p>
  </w:endnote>
  <w:endnote w:type="continuationSeparator" w:id="0">
    <w:p w14:paraId="01A48C34" w14:textId="77777777" w:rsidR="00994EE6" w:rsidRDefault="0099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altName w:val="Arial Unicode MS"/>
    <w:panose1 w:val="05010000000000000000"/>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roman"/>
    <w:notTrueType/>
    <w:pitch w:val="default"/>
  </w:font>
  <w:font w:name="Noto Sans">
    <w:panose1 w:val="020B0502040504020204"/>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B63" w14:textId="77777777" w:rsidR="00CA38EE" w:rsidRDefault="00994EE6">
    <w:pPr>
      <w:pStyle w:val="Peu"/>
      <w:tabs>
        <w:tab w:val="clear" w:pos="4252"/>
        <w:tab w:val="clear" w:pos="8504"/>
        <w:tab w:val="center" w:pos="4536"/>
      </w:tabs>
      <w:jc w:val="left"/>
    </w:pPr>
    <w:r>
      <w:rPr>
        <w:rStyle w:val="Lletraperdefectedelpargraf"/>
        <w:rFonts w:ascii="Calibri Light" w:hAnsi="Calibri Light" w:cs="Calibri Light"/>
        <w:sz w:val="20"/>
        <w:szCs w:val="18"/>
      </w:rPr>
      <w:tab/>
    </w:r>
    <w:r>
      <w:rPr>
        <w:rStyle w:val="Lletraperdefectedelpargraf"/>
        <w:rFonts w:ascii="Calibri Light" w:hAnsi="Calibri Light" w:cs="Calibri Light"/>
        <w:caps/>
      </w:rPr>
      <w:fldChar w:fldCharType="begin"/>
    </w:r>
    <w:r>
      <w:rPr>
        <w:rStyle w:val="Lletraperdefectedelpargraf"/>
        <w:rFonts w:ascii="Calibri Light" w:hAnsi="Calibri Light" w:cs="Calibri Light"/>
        <w:caps/>
      </w:rPr>
      <w:instrText xml:space="preserve"> PAGE </w:instrText>
    </w:r>
    <w:r>
      <w:rPr>
        <w:rStyle w:val="Lletraperdefectedelpargraf"/>
        <w:rFonts w:ascii="Calibri Light" w:hAnsi="Calibri Light" w:cs="Calibri Light"/>
        <w:caps/>
      </w:rPr>
      <w:fldChar w:fldCharType="separate"/>
    </w:r>
    <w:r>
      <w:rPr>
        <w:rStyle w:val="Lletraperdefectedelpargraf"/>
        <w:rFonts w:ascii="Calibri Light" w:hAnsi="Calibri Light" w:cs="Calibri Light"/>
        <w:caps/>
      </w:rPr>
      <w:t>27</w:t>
    </w:r>
    <w:r>
      <w:rPr>
        <w:rStyle w:val="Lletraperdefectedelpargraf"/>
        <w:rFonts w:ascii="Calibri Light" w:hAnsi="Calibri Light" w:cs="Calibri Light"/>
        <w:caps/>
      </w:rPr>
      <w:fldChar w:fldCharType="end"/>
    </w:r>
  </w:p>
  <w:p w14:paraId="79A80AA7" w14:textId="77777777" w:rsidR="00CA38EE" w:rsidRDefault="00994EE6">
    <w:pPr>
      <w:pStyle w:val="Piedepgina"/>
      <w:widowControl w:val="0"/>
      <w:spacing w:after="0"/>
      <w:rPr>
        <w:sz w:val="15"/>
        <w:szCs w:val="15"/>
      </w:rPr>
    </w:pPr>
    <w:r>
      <w:rPr>
        <w:rFonts w:ascii="Noto Sans" w:hAnsi="Noto Sans" w:cs="Noto Sans"/>
        <w:sz w:val="15"/>
        <w:szCs w:val="15"/>
      </w:rPr>
      <w:t>C/ Reina Constança,4</w:t>
    </w:r>
  </w:p>
  <w:p w14:paraId="3EAD9085" w14:textId="77777777" w:rsidR="00CA38EE" w:rsidRDefault="00994EE6">
    <w:pPr>
      <w:pStyle w:val="Piedepgina"/>
      <w:widowControl w:val="0"/>
      <w:spacing w:after="0"/>
      <w:rPr>
        <w:sz w:val="15"/>
        <w:szCs w:val="15"/>
      </w:rPr>
    </w:pPr>
    <w:r>
      <w:rPr>
        <w:rFonts w:ascii="Noto Sans" w:hAnsi="Noto Sans" w:cs="Noto Sans"/>
        <w:sz w:val="15"/>
        <w:szCs w:val="15"/>
      </w:rPr>
      <w:t xml:space="preserve">07006 Palma </w:t>
    </w:r>
  </w:p>
  <w:p w14:paraId="238E25CB" w14:textId="77777777" w:rsidR="00CA38EE" w:rsidRDefault="00994EE6">
    <w:pPr>
      <w:pStyle w:val="Piedepgina"/>
      <w:widowControl w:val="0"/>
      <w:spacing w:after="0"/>
      <w:rPr>
        <w:sz w:val="15"/>
        <w:szCs w:val="15"/>
      </w:rPr>
    </w:pPr>
    <w:r>
      <w:rPr>
        <w:rFonts w:ascii="Noto Sans" w:hAnsi="Noto Sans" w:cs="Noto Sans"/>
        <w:sz w:val="15"/>
        <w:szCs w:val="15"/>
      </w:rPr>
      <w:t>Tel. 971 17 61 00</w:t>
    </w:r>
  </w:p>
  <w:p w14:paraId="1F4CB0AB" w14:textId="77777777" w:rsidR="00CA38EE" w:rsidRDefault="00994EE6">
    <w:pPr>
      <w:pStyle w:val="Piedepgina"/>
      <w:widowControl w:val="0"/>
      <w:spacing w:after="0"/>
      <w:rPr>
        <w:color w:val="C9211E"/>
        <w:sz w:val="15"/>
        <w:szCs w:val="15"/>
      </w:rPr>
    </w:pPr>
    <w:r>
      <w:rPr>
        <w:rFonts w:ascii="Noto Sans" w:hAnsi="Noto Sans" w:cs="Noto Sans"/>
        <w:color w:val="C9211E"/>
        <w:sz w:val="15"/>
        <w:szCs w:val="15"/>
      </w:rPr>
      <w:t>pesca@dgpesca.caib.es</w:t>
    </w:r>
  </w:p>
  <w:p w14:paraId="5C225461" w14:textId="77777777" w:rsidR="00CA38EE" w:rsidRDefault="00CA38EE">
    <w:pPr>
      <w:pStyle w:val="Piedepgina"/>
      <w:widowControl w:val="0"/>
      <w:tabs>
        <w:tab w:val="clear" w:pos="4819"/>
        <w:tab w:val="clear" w:pos="9638"/>
        <w:tab w:val="center" w:pos="4536"/>
      </w:tabs>
      <w:spacing w:after="0"/>
      <w:jc w:val="left"/>
      <w:rPr>
        <w:rFonts w:ascii="Noto Sans" w:hAnsi="Noto Sans" w:cs="Noto Sans"/>
        <w:color w:val="C3004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8044" w14:textId="77777777" w:rsidR="00CA38EE" w:rsidRDefault="00994EE6">
    <w:pPr>
      <w:pStyle w:val="Peu"/>
      <w:tabs>
        <w:tab w:val="clear" w:pos="4252"/>
        <w:tab w:val="clear" w:pos="8504"/>
        <w:tab w:val="center" w:pos="4536"/>
      </w:tabs>
      <w:jc w:val="left"/>
    </w:pPr>
    <w:r>
      <w:rPr>
        <w:rStyle w:val="Lletraperdefectedelpargraf"/>
        <w:rFonts w:ascii="Calibri Light" w:hAnsi="Calibri Light" w:cs="Calibri Light"/>
        <w:sz w:val="20"/>
        <w:szCs w:val="18"/>
      </w:rPr>
      <w:tab/>
    </w:r>
    <w:r>
      <w:rPr>
        <w:rStyle w:val="Lletraperdefectedelpargraf"/>
        <w:rFonts w:ascii="Calibri Light" w:hAnsi="Calibri Light" w:cs="Calibri Light"/>
        <w:caps/>
      </w:rPr>
      <w:fldChar w:fldCharType="begin"/>
    </w:r>
    <w:r>
      <w:rPr>
        <w:rStyle w:val="Lletraperdefectedelpargraf"/>
        <w:rFonts w:ascii="Calibri Light" w:hAnsi="Calibri Light" w:cs="Calibri Light"/>
        <w:caps/>
      </w:rPr>
      <w:instrText xml:space="preserve"> PAGE </w:instrText>
    </w:r>
    <w:r>
      <w:rPr>
        <w:rStyle w:val="Lletraperdefectedelpargraf"/>
        <w:rFonts w:ascii="Calibri Light" w:hAnsi="Calibri Light" w:cs="Calibri Light"/>
        <w:caps/>
      </w:rPr>
      <w:fldChar w:fldCharType="separate"/>
    </w:r>
    <w:r>
      <w:rPr>
        <w:rStyle w:val="Lletraperdefectedelpargraf"/>
        <w:rFonts w:ascii="Calibri Light" w:hAnsi="Calibri Light" w:cs="Calibri Light"/>
        <w:caps/>
      </w:rPr>
      <w:t>1</w:t>
    </w:r>
    <w:r>
      <w:rPr>
        <w:rStyle w:val="Lletraperdefectedelpargraf"/>
        <w:rFonts w:ascii="Calibri Light" w:hAnsi="Calibri Light" w:cs="Calibri Light"/>
        <w:caps/>
      </w:rPr>
      <w:fldChar w:fldCharType="end"/>
    </w:r>
  </w:p>
  <w:p w14:paraId="773170B0" w14:textId="77777777" w:rsidR="00CA38EE" w:rsidRDefault="00994EE6">
    <w:pPr>
      <w:pStyle w:val="Piedepgina"/>
      <w:widowControl w:val="0"/>
      <w:spacing w:after="0"/>
      <w:rPr>
        <w:sz w:val="15"/>
        <w:szCs w:val="15"/>
      </w:rPr>
    </w:pPr>
    <w:r>
      <w:rPr>
        <w:rFonts w:ascii="Noto Sans" w:hAnsi="Noto Sans" w:cs="Noto Sans"/>
        <w:sz w:val="15"/>
        <w:szCs w:val="15"/>
      </w:rPr>
      <w:t>C/ Reina Constança,4</w:t>
    </w:r>
  </w:p>
  <w:p w14:paraId="3EBD14C9" w14:textId="77777777" w:rsidR="00CA38EE" w:rsidRDefault="00994EE6">
    <w:pPr>
      <w:pStyle w:val="Piedepgina"/>
      <w:widowControl w:val="0"/>
      <w:spacing w:after="0"/>
      <w:rPr>
        <w:sz w:val="15"/>
        <w:szCs w:val="15"/>
      </w:rPr>
    </w:pPr>
    <w:r>
      <w:rPr>
        <w:rFonts w:ascii="Noto Sans" w:hAnsi="Noto Sans" w:cs="Noto Sans"/>
        <w:sz w:val="15"/>
        <w:szCs w:val="15"/>
      </w:rPr>
      <w:t xml:space="preserve">07006 Palma </w:t>
    </w:r>
  </w:p>
  <w:p w14:paraId="76D33ECE" w14:textId="77777777" w:rsidR="00CA38EE" w:rsidRDefault="00994EE6">
    <w:pPr>
      <w:pStyle w:val="Piedepgina"/>
      <w:widowControl w:val="0"/>
      <w:spacing w:after="0"/>
      <w:rPr>
        <w:sz w:val="15"/>
        <w:szCs w:val="15"/>
      </w:rPr>
    </w:pPr>
    <w:r>
      <w:rPr>
        <w:rFonts w:ascii="Noto Sans" w:hAnsi="Noto Sans" w:cs="Noto Sans"/>
        <w:sz w:val="15"/>
        <w:szCs w:val="15"/>
      </w:rPr>
      <w:t>Tel. 971 17 61 00</w:t>
    </w:r>
  </w:p>
  <w:p w14:paraId="211D523C" w14:textId="77777777" w:rsidR="00CA38EE" w:rsidRDefault="00994EE6">
    <w:pPr>
      <w:pStyle w:val="Piedepgina"/>
      <w:widowControl w:val="0"/>
      <w:spacing w:after="0"/>
      <w:rPr>
        <w:color w:val="C9211E"/>
        <w:sz w:val="15"/>
        <w:szCs w:val="15"/>
      </w:rPr>
    </w:pPr>
    <w:r>
      <w:rPr>
        <w:rFonts w:ascii="Noto Sans" w:hAnsi="Noto Sans" w:cs="Noto Sans"/>
        <w:color w:val="C9211E"/>
        <w:sz w:val="15"/>
        <w:szCs w:val="15"/>
      </w:rPr>
      <w:t>pesca@dgpesca.caib.es</w:t>
    </w:r>
  </w:p>
  <w:p w14:paraId="7CE882C3" w14:textId="77777777" w:rsidR="00CA38EE" w:rsidRDefault="00CA38EE">
    <w:pPr>
      <w:pStyle w:val="Piedepgina"/>
      <w:widowControl w:val="0"/>
      <w:tabs>
        <w:tab w:val="clear" w:pos="4819"/>
        <w:tab w:val="clear" w:pos="9638"/>
        <w:tab w:val="center" w:pos="4536"/>
      </w:tabs>
      <w:spacing w:after="0"/>
      <w:jc w:val="left"/>
      <w:rPr>
        <w:rFonts w:ascii="Noto Sans" w:hAnsi="Noto Sans" w:cs="Noto Sans"/>
        <w:color w:val="C3004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1551" w14:textId="77777777" w:rsidR="00994EE6" w:rsidRDefault="00994EE6">
      <w:r>
        <w:separator/>
      </w:r>
    </w:p>
  </w:footnote>
  <w:footnote w:type="continuationSeparator" w:id="0">
    <w:p w14:paraId="32105BD9" w14:textId="77777777" w:rsidR="00994EE6" w:rsidRDefault="00994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E585" w14:textId="77777777" w:rsidR="00CA38EE" w:rsidRDefault="00994EE6">
    <w:pPr>
      <w:pStyle w:val="Encabezado"/>
      <w:rPr>
        <w:rStyle w:val="Lletraperdefectedelpargraf"/>
        <w:rFonts w:ascii="Calibri Light" w:hAnsi="Calibri Light" w:cs="Calibri Light"/>
        <w:color w:val="FF0000"/>
      </w:rPr>
    </w:pPr>
    <w:r>
      <w:rPr>
        <w:rFonts w:ascii="Calibri Light" w:hAnsi="Calibri Light" w:cs="Calibri Light"/>
        <w:noProof/>
        <w:color w:val="FF0000"/>
      </w:rPr>
      <w:drawing>
        <wp:anchor distT="0" distB="0" distL="0" distR="0" simplePos="0" relativeHeight="71" behindDoc="1" locked="0" layoutInCell="0" allowOverlap="1" wp14:anchorId="138D6810" wp14:editId="32DDF179">
          <wp:simplePos x="0" y="0"/>
          <wp:positionH relativeFrom="column">
            <wp:posOffset>-471170</wp:posOffset>
          </wp:positionH>
          <wp:positionV relativeFrom="paragraph">
            <wp:posOffset>93980</wp:posOffset>
          </wp:positionV>
          <wp:extent cx="560705" cy="79248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a:picLocks noChangeAspect="1" noChangeArrowheads="1"/>
                  </pic:cNvPicPr>
                </pic:nvPicPr>
                <pic:blipFill>
                  <a:blip r:embed="rId1"/>
                  <a:stretch>
                    <a:fillRect/>
                  </a:stretch>
                </pic:blipFill>
                <pic:spPr bwMode="auto">
                  <a:xfrm>
                    <a:off x="0" y="0"/>
                    <a:ext cx="560705" cy="792480"/>
                  </a:xfrm>
                  <a:prstGeom prst="rect">
                    <a:avLst/>
                  </a:prstGeom>
                </pic:spPr>
              </pic:pic>
            </a:graphicData>
          </a:graphic>
        </wp:anchor>
      </w:drawing>
    </w:r>
    <w:r>
      <w:rPr>
        <w:rFonts w:ascii="Calibri Light" w:hAnsi="Calibri Light" w:cs="Calibri Light"/>
        <w:noProof/>
        <w:color w:val="FF0000"/>
      </w:rPr>
      <mc:AlternateContent>
        <mc:Choice Requires="wps">
          <w:drawing>
            <wp:anchor distT="20320" distB="20320" distL="0" distR="0" simplePos="0" relativeHeight="53" behindDoc="1" locked="0" layoutInCell="0" allowOverlap="1" wp14:anchorId="078589A0" wp14:editId="28FD6A5C">
              <wp:simplePos x="0" y="0"/>
              <wp:positionH relativeFrom="margin">
                <wp:align>center</wp:align>
              </wp:positionH>
              <wp:positionV relativeFrom="margin">
                <wp:align>center</wp:align>
              </wp:positionV>
              <wp:extent cx="62865" cy="15875"/>
              <wp:effectExtent l="0" t="20320" r="0" b="20320"/>
              <wp:wrapNone/>
              <wp:docPr id="3" name="Marc 1"/>
              <wp:cNvGraphicFramePr/>
              <a:graphic xmlns:a="http://schemas.openxmlformats.org/drawingml/2006/main">
                <a:graphicData uri="http://schemas.microsoft.com/office/word/2010/wordprocessingShape">
                  <wps:wsp>
                    <wps:cNvSpPr/>
                    <wps:spPr>
                      <a:xfrm rot="18900000">
                        <a:off x="0" y="0"/>
                        <a:ext cx="63000" cy="15840"/>
                      </a:xfrm>
                      <a:custGeom>
                        <a:avLst/>
                        <a:gdLst/>
                        <a:ahLst/>
                        <a:cxnLst/>
                        <a:rect l="l" t="t" r="r" b="b"/>
                        <a:pathLst>
                          <a:path w="21600" h="21600">
                            <a:moveTo>
                              <a:pt x="0" y="0"/>
                            </a:moveTo>
                            <a:lnTo>
                              <a:pt x="21600" y="0"/>
                            </a:lnTo>
                            <a:lnTo>
                              <a:pt x="21600" y="21600"/>
                            </a:lnTo>
                            <a:lnTo>
                              <a:pt x="0" y="21600"/>
                            </a:lnTo>
                            <a:close/>
                          </a:path>
                        </a:pathLst>
                      </a:custGeom>
                      <a:noFill/>
                      <a:ln w="12600">
                        <a:noFill/>
                      </a:ln>
                    </wps:spPr>
                    <wps:style>
                      <a:lnRef idx="0">
                        <a:scrgbClr r="0" g="0" b="0"/>
                      </a:lnRef>
                      <a:fillRef idx="0">
                        <a:scrgbClr r="0" g="0" b="0"/>
                      </a:fillRef>
                      <a:effectRef idx="0">
                        <a:scrgbClr r="0" g="0" b="0"/>
                      </a:effectRef>
                      <a:fontRef idx="minor"/>
                    </wps:style>
                    <wps:txbx>
                      <w:txbxContent>
                        <w:p w14:paraId="52E365DE" w14:textId="77777777" w:rsidR="00CA38EE" w:rsidRDefault="00994EE6">
                          <w:pPr>
                            <w:pStyle w:val="Contingutdelmarc"/>
                            <w:spacing w:after="0" w:line="240" w:lineRule="auto"/>
                            <w:jc w:val="left"/>
                          </w:pPr>
                          <w:r>
                            <w:rPr>
                              <w:sz w:val="2"/>
                            </w:rPr>
                            <w:t>ESBORRANY</w:t>
                          </w:r>
                        </w:p>
                      </w:txbxContent>
                    </wps:txbx>
                    <wps:bodyPr lIns="0" tIns="0" rIns="0" bIns="0" anchor="t">
                      <a:noAutofit/>
                    </wps:bodyPr>
                  </wps:wsp>
                </a:graphicData>
              </a:graphic>
            </wp:anchor>
          </w:drawing>
        </mc:Choice>
        <mc:Fallback>
          <w:pict>
            <v:shape w14:anchorId="078589A0" id="Marc 1" o:spid="_x0000_s1026" style="position:absolute;left:0;text-align:left;margin-left:0;margin-top:0;width:4.95pt;height:1.25pt;rotation:-45;z-index:-503316427;visibility:visible;mso-wrap-style:square;mso-wrap-distance-left:0;mso-wrap-distance-top:1.6pt;mso-wrap-distance-right:0;mso-wrap-distance-bottom:1.6pt;mso-position-horizontal:center;mso-position-horizontal-relative:margin;mso-position-vertical:center;mso-position-vertical-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" o:allowincell="f" adj="-11796480,,5400" path="m,l21600,r,21600l,21600,,xe" filled="f" stroked="f" strokeweight=".35mm">
              <v:stroke joinstyle="miter"/>
              <v:formulas/>
              <v:path arrowok="t" o:connecttype="custom" textboxrect="0,0,21600,21600"/>
              <v:textbox inset="0,0,0,0">
                <w:txbxContent>
                  <w:p w14:paraId="52E365DE" w14:textId="77777777" w:rsidR="00CA38EE" w:rsidRDefault="00994EE6">
                    <w:pPr>
                      <w:pStyle w:val="Contingutdelmarc"/>
                      <w:spacing w:after="0" w:line="240" w:lineRule="auto"/>
                      <w:jc w:val="left"/>
                    </w:pPr>
                    <w:r>
                      <w:rPr>
                        <w:sz w:val="2"/>
                      </w:rPr>
                      <w:t>ESBORRANY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3C82" w14:textId="77777777" w:rsidR="00CA38EE" w:rsidRDefault="00994EE6">
    <w:pPr>
      <w:pStyle w:val="Encabezado"/>
      <w:rPr>
        <w:rStyle w:val="Lletraperdefectedelpargraf"/>
        <w:rFonts w:ascii="Calibri Light" w:hAnsi="Calibri Light" w:cs="Calibri Light"/>
        <w:color w:val="FF0000"/>
      </w:rPr>
    </w:pPr>
    <w:r>
      <w:rPr>
        <w:rFonts w:ascii="Calibri Light" w:hAnsi="Calibri Light" w:cs="Calibri Light"/>
        <w:noProof/>
        <w:color w:val="FF0000"/>
      </w:rPr>
      <w:drawing>
        <wp:anchor distT="0" distB="0" distL="0" distR="0" simplePos="0" relativeHeight="57" behindDoc="1" locked="0" layoutInCell="0" allowOverlap="1" wp14:anchorId="1CE61DD8" wp14:editId="4313B9D1">
          <wp:simplePos x="0" y="0"/>
          <wp:positionH relativeFrom="column">
            <wp:posOffset>-338455</wp:posOffset>
          </wp:positionH>
          <wp:positionV relativeFrom="paragraph">
            <wp:posOffset>-40640</wp:posOffset>
          </wp:positionV>
          <wp:extent cx="1933575" cy="762000"/>
          <wp:effectExtent l="0" t="0" r="0" b="0"/>
          <wp:wrapNone/>
          <wp:docPr id="5"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pic:cNvPicPr>
                    <a:picLocks noChangeAspect="1" noChangeArrowheads="1"/>
                  </pic:cNvPicPr>
                </pic:nvPicPr>
                <pic:blipFill>
                  <a:blip r:embed="rId1"/>
                  <a:stretch>
                    <a:fillRect/>
                  </a:stretch>
                </pic:blipFill>
                <pic:spPr bwMode="auto">
                  <a:xfrm>
                    <a:off x="0" y="0"/>
                    <a:ext cx="1933575" cy="762000"/>
                  </a:xfrm>
                  <a:prstGeom prst="rect">
                    <a:avLst/>
                  </a:prstGeom>
                </pic:spPr>
              </pic:pic>
            </a:graphicData>
          </a:graphic>
        </wp:anchor>
      </w:drawing>
    </w:r>
    <w:r>
      <w:rPr>
        <w:rFonts w:ascii="Calibri Light" w:hAnsi="Calibri Light" w:cs="Calibri Light"/>
        <w:noProof/>
        <w:color w:val="FF0000"/>
      </w:rPr>
      <mc:AlternateContent>
        <mc:Choice Requires="wps">
          <w:drawing>
            <wp:anchor distT="20320" distB="20320" distL="0" distR="0" simplePos="0" relativeHeight="55" behindDoc="1" locked="0" layoutInCell="0" allowOverlap="1" wp14:anchorId="66CC524D" wp14:editId="477E49D6">
              <wp:simplePos x="0" y="0"/>
              <wp:positionH relativeFrom="margin">
                <wp:align>center</wp:align>
              </wp:positionH>
              <wp:positionV relativeFrom="margin">
                <wp:align>center</wp:align>
              </wp:positionV>
              <wp:extent cx="62865" cy="15875"/>
              <wp:effectExtent l="0" t="20320" r="0" b="20320"/>
              <wp:wrapNone/>
              <wp:docPr id="6" name="Marc 2"/>
              <wp:cNvGraphicFramePr/>
              <a:graphic xmlns:a="http://schemas.openxmlformats.org/drawingml/2006/main">
                <a:graphicData uri="http://schemas.microsoft.com/office/word/2010/wordprocessingShape">
                  <wps:wsp>
                    <wps:cNvSpPr/>
                    <wps:spPr>
                      <a:xfrm rot="18900000">
                        <a:off x="0" y="0"/>
                        <a:ext cx="63000" cy="15840"/>
                      </a:xfrm>
                      <a:custGeom>
                        <a:avLst/>
                        <a:gdLst/>
                        <a:ahLst/>
                        <a:cxnLst/>
                        <a:rect l="l" t="t" r="r" b="b"/>
                        <a:pathLst>
                          <a:path w="21600" h="21600">
                            <a:moveTo>
                              <a:pt x="0" y="0"/>
                            </a:moveTo>
                            <a:lnTo>
                              <a:pt x="21600" y="0"/>
                            </a:lnTo>
                            <a:lnTo>
                              <a:pt x="21600" y="21600"/>
                            </a:lnTo>
                            <a:lnTo>
                              <a:pt x="0" y="21600"/>
                            </a:lnTo>
                            <a:close/>
                          </a:path>
                        </a:pathLst>
                      </a:custGeom>
                      <a:noFill/>
                      <a:ln w="12600">
                        <a:noFill/>
                      </a:ln>
                    </wps:spPr>
                    <wps:style>
                      <a:lnRef idx="0">
                        <a:scrgbClr r="0" g="0" b="0"/>
                      </a:lnRef>
                      <a:fillRef idx="0">
                        <a:scrgbClr r="0" g="0" b="0"/>
                      </a:fillRef>
                      <a:effectRef idx="0">
                        <a:scrgbClr r="0" g="0" b="0"/>
                      </a:effectRef>
                      <a:fontRef idx="minor"/>
                    </wps:style>
                    <wps:txbx>
                      <w:txbxContent>
                        <w:p w14:paraId="235BCC80" w14:textId="77777777" w:rsidR="00CA38EE" w:rsidRDefault="00994EE6">
                          <w:pPr>
                            <w:pStyle w:val="Contingutdelmarc"/>
                            <w:spacing w:after="0" w:line="240" w:lineRule="auto"/>
                            <w:jc w:val="left"/>
                          </w:pPr>
                          <w:r>
                            <w:rPr>
                              <w:sz w:val="2"/>
                            </w:rPr>
                            <w:t>ESBORRANY</w:t>
                          </w:r>
                        </w:p>
                      </w:txbxContent>
                    </wps:txbx>
                    <wps:bodyPr lIns="0" tIns="0" rIns="0" bIns="0" anchor="t">
                      <a:noAutofit/>
                    </wps:bodyPr>
                  </wps:wsp>
                </a:graphicData>
              </a:graphic>
            </wp:anchor>
          </w:drawing>
        </mc:Choice>
        <mc:Fallback>
          <w:pict>
            <v:shape w14:anchorId="66CC524D" id="Marc 2" o:spid="_x0000_s1027" style="position:absolute;left:0;text-align:left;margin-left:0;margin-top:0;width:4.95pt;height:1.25pt;rotation:-45;z-index:-503316425;visibility:visible;mso-wrap-style:square;mso-wrap-distance-left:0;mso-wrap-distance-top:1.6pt;mso-wrap-distance-right:0;mso-wrap-distance-bottom:1.6pt;mso-position-horizontal:center;mso-position-horizontal-relative:margin;mso-position-vertical:center;mso-position-vertical-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" o:allowincell="f" adj="-11796480,,5400" path="m,l21600,r,21600l,21600,,xe" filled="f" stroked="f" strokeweight=".35mm">
              <v:stroke joinstyle="miter"/>
              <v:formulas/>
              <v:path arrowok="t" o:connecttype="custom" textboxrect="0,0,21600,21600"/>
              <v:textbox inset="0,0,0,0">
                <w:txbxContent>
                  <w:p w14:paraId="235BCC80" w14:textId="77777777" w:rsidR="00CA38EE" w:rsidRDefault="00994EE6">
                    <w:pPr>
                      <w:pStyle w:val="Contingutdelmarc"/>
                      <w:spacing w:after="0" w:line="240" w:lineRule="auto"/>
                      <w:jc w:val="left"/>
                    </w:pPr>
                    <w:r>
                      <w:rPr>
                        <w:sz w:val="2"/>
                      </w:rPr>
                      <w:t>ESBORRANY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B4A"/>
    <w:multiLevelType w:val="multilevel"/>
    <w:tmpl w:val="9A729B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834BA8"/>
    <w:multiLevelType w:val="multilevel"/>
    <w:tmpl w:val="F13E95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B33486"/>
    <w:multiLevelType w:val="multilevel"/>
    <w:tmpl w:val="4D6CAA7E"/>
    <w:lvl w:ilvl="0">
      <w:start w:val="1"/>
      <w:numFmt w:val="none"/>
      <w:pStyle w:val="Tto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8D12EE"/>
    <w:multiLevelType w:val="multilevel"/>
    <w:tmpl w:val="C1C8AA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4E49D6"/>
    <w:multiLevelType w:val="multilevel"/>
    <w:tmpl w:val="973C7F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F035520"/>
    <w:multiLevelType w:val="multilevel"/>
    <w:tmpl w:val="CB7627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09087B"/>
    <w:multiLevelType w:val="multilevel"/>
    <w:tmpl w:val="14624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F314014"/>
    <w:multiLevelType w:val="multilevel"/>
    <w:tmpl w:val="0C427A9C"/>
    <w:lvl w:ilvl="0">
      <w:start w:val="1"/>
      <w:numFmt w:val="bullet"/>
      <w:lvlText w:val=""/>
      <w:lvlJc w:val="left"/>
      <w:pPr>
        <w:tabs>
          <w:tab w:val="num" w:pos="0"/>
        </w:tabs>
        <w:ind w:left="709" w:hanging="283"/>
      </w:pPr>
      <w:rPr>
        <w:rFonts w:ascii="Symbol" w:hAnsi="Symbol" w:cs="Symbol" w:hint="default"/>
      </w:rPr>
    </w:lvl>
    <w:lvl w:ilvl="1">
      <w:start w:val="1"/>
      <w:numFmt w:val="bullet"/>
      <w:lvlText w:val=""/>
      <w:lvlJc w:val="left"/>
      <w:pPr>
        <w:tabs>
          <w:tab w:val="num" w:pos="0"/>
        </w:tabs>
        <w:ind w:left="1418" w:hanging="283"/>
      </w:pPr>
      <w:rPr>
        <w:rFonts w:ascii="Symbol" w:hAnsi="Symbol" w:cs="Symbol" w:hint="default"/>
      </w:rPr>
    </w:lvl>
    <w:lvl w:ilvl="2">
      <w:start w:val="1"/>
      <w:numFmt w:val="bullet"/>
      <w:lvlText w:val=""/>
      <w:lvlJc w:val="left"/>
      <w:pPr>
        <w:tabs>
          <w:tab w:val="num" w:pos="0"/>
        </w:tabs>
        <w:ind w:left="2127" w:hanging="283"/>
      </w:pPr>
      <w:rPr>
        <w:rFonts w:ascii="Symbol" w:hAnsi="Symbol" w:cs="Symbol" w:hint="default"/>
      </w:rPr>
    </w:lvl>
    <w:lvl w:ilvl="3">
      <w:start w:val="1"/>
      <w:numFmt w:val="bullet"/>
      <w:lvlText w:val=""/>
      <w:lvlJc w:val="left"/>
      <w:pPr>
        <w:tabs>
          <w:tab w:val="num" w:pos="0"/>
        </w:tabs>
        <w:ind w:left="2836" w:hanging="283"/>
      </w:pPr>
      <w:rPr>
        <w:rFonts w:ascii="Symbol" w:hAnsi="Symbol" w:cs="Symbol" w:hint="default"/>
      </w:rPr>
    </w:lvl>
    <w:lvl w:ilvl="4">
      <w:start w:val="1"/>
      <w:numFmt w:val="bullet"/>
      <w:lvlText w:val=""/>
      <w:lvlJc w:val="left"/>
      <w:pPr>
        <w:tabs>
          <w:tab w:val="num" w:pos="0"/>
        </w:tabs>
        <w:ind w:left="3545" w:hanging="283"/>
      </w:pPr>
      <w:rPr>
        <w:rFonts w:ascii="Symbol" w:hAnsi="Symbol" w:cs="Symbol" w:hint="default"/>
      </w:rPr>
    </w:lvl>
    <w:lvl w:ilvl="5">
      <w:start w:val="1"/>
      <w:numFmt w:val="bullet"/>
      <w:lvlText w:val=""/>
      <w:lvlJc w:val="left"/>
      <w:pPr>
        <w:tabs>
          <w:tab w:val="num" w:pos="0"/>
        </w:tabs>
        <w:ind w:left="4254" w:hanging="283"/>
      </w:pPr>
      <w:rPr>
        <w:rFonts w:ascii="Symbol" w:hAnsi="Symbol" w:cs="Symbol" w:hint="default"/>
      </w:rPr>
    </w:lvl>
    <w:lvl w:ilvl="6">
      <w:start w:val="1"/>
      <w:numFmt w:val="bullet"/>
      <w:lvlText w:val=""/>
      <w:lvlJc w:val="left"/>
      <w:pPr>
        <w:tabs>
          <w:tab w:val="num" w:pos="0"/>
        </w:tabs>
        <w:ind w:left="4963" w:hanging="283"/>
      </w:pPr>
      <w:rPr>
        <w:rFonts w:ascii="Symbol" w:hAnsi="Symbol" w:cs="Symbol" w:hint="default"/>
      </w:rPr>
    </w:lvl>
    <w:lvl w:ilvl="7">
      <w:start w:val="1"/>
      <w:numFmt w:val="bullet"/>
      <w:lvlText w:val=""/>
      <w:lvlJc w:val="left"/>
      <w:pPr>
        <w:tabs>
          <w:tab w:val="num" w:pos="0"/>
        </w:tabs>
        <w:ind w:left="5672" w:hanging="283"/>
      </w:pPr>
      <w:rPr>
        <w:rFonts w:ascii="Symbol" w:hAnsi="Symbol" w:cs="Symbol" w:hint="default"/>
      </w:rPr>
    </w:lvl>
    <w:lvl w:ilvl="8">
      <w:start w:val="1"/>
      <w:numFmt w:val="bullet"/>
      <w:lvlText w:val=""/>
      <w:lvlJc w:val="left"/>
      <w:pPr>
        <w:tabs>
          <w:tab w:val="num" w:pos="0"/>
        </w:tabs>
        <w:ind w:left="6381" w:hanging="283"/>
      </w:pPr>
      <w:rPr>
        <w:rFonts w:ascii="Symbol" w:hAnsi="Symbol" w:cs="Symbol" w:hint="default"/>
      </w:rPr>
    </w:lvl>
  </w:abstractNum>
  <w:abstractNum w:abstractNumId="8" w15:restartNumberingAfterBreak="0">
    <w:nsid w:val="743B5341"/>
    <w:multiLevelType w:val="multilevel"/>
    <w:tmpl w:val="3384AB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B9F5F54"/>
    <w:multiLevelType w:val="multilevel"/>
    <w:tmpl w:val="D39A7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822B88"/>
    <w:multiLevelType w:val="multilevel"/>
    <w:tmpl w:val="7B18C3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02859665">
    <w:abstractNumId w:val="1"/>
  </w:num>
  <w:num w:numId="2" w16cid:durableId="1054308724">
    <w:abstractNumId w:val="4"/>
  </w:num>
  <w:num w:numId="3" w16cid:durableId="617639718">
    <w:abstractNumId w:val="3"/>
  </w:num>
  <w:num w:numId="4" w16cid:durableId="1732196745">
    <w:abstractNumId w:val="8"/>
  </w:num>
  <w:num w:numId="5" w16cid:durableId="564296285">
    <w:abstractNumId w:val="6"/>
  </w:num>
  <w:num w:numId="6" w16cid:durableId="1457290267">
    <w:abstractNumId w:val="0"/>
  </w:num>
  <w:num w:numId="7" w16cid:durableId="186412130">
    <w:abstractNumId w:val="5"/>
  </w:num>
  <w:num w:numId="8" w16cid:durableId="575287110">
    <w:abstractNumId w:val="10"/>
  </w:num>
  <w:num w:numId="9" w16cid:durableId="547109163">
    <w:abstractNumId w:val="2"/>
  </w:num>
  <w:num w:numId="10" w16cid:durableId="1585264481">
    <w:abstractNumId w:val="7"/>
  </w:num>
  <w:num w:numId="11" w16cid:durableId="657346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EE"/>
    <w:rsid w:val="00024B1C"/>
    <w:rsid w:val="00994EE6"/>
    <w:rsid w:val="00CA38EE"/>
    <w:rsid w:val="00CD519C"/>
    <w:rsid w:val="00DD4A3B"/>
    <w:rsid w:val="00DE7939"/>
    <w:rsid w:val="00E749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6131"/>
  <w15:docId w15:val="{4624DEC2-3F81-435E-B04B-40528BA5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ca-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Ttulo3">
    <w:name w:val="heading 3"/>
    <w:basedOn w:val="Normal"/>
    <w:next w:val="Normal"/>
    <w:uiPriority w:val="9"/>
    <w:semiHidden/>
    <w:unhideWhenUsed/>
    <w:qFormat/>
    <w:rsid w:val="1EFF1237"/>
    <w:pPr>
      <w:keepNext/>
      <w:keepLines/>
      <w:spacing w:before="160" w:after="80"/>
      <w:outlineLvl w:val="2"/>
    </w:pPr>
    <w:rPr>
      <w:rFonts w:eastAsiaTheme="majorEastAsia" w:cstheme="majorBidi"/>
      <w:color w:val="BFBF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letraperdefectedelpargraf">
    <w:name w:val="Lletra per defecte del paràgraf"/>
    <w:qFormat/>
  </w:style>
  <w:style w:type="character" w:customStyle="1" w:styleId="CapaleraCar">
    <w:name w:val="Capçalera Car"/>
    <w:basedOn w:val="Lletraperdefectedelpargraf"/>
    <w:qFormat/>
    <w:rPr>
      <w:rFonts w:eastAsia="Calibri"/>
      <w:sz w:val="24"/>
    </w:rPr>
  </w:style>
  <w:style w:type="character" w:customStyle="1" w:styleId="PeuCar">
    <w:name w:val="Peu Car"/>
    <w:basedOn w:val="Lletraperdefectedelpargraf"/>
    <w:qFormat/>
    <w:rPr>
      <w:rFonts w:eastAsia="Calibri"/>
      <w:sz w:val="24"/>
    </w:rPr>
  </w:style>
  <w:style w:type="character" w:customStyle="1" w:styleId="Fuentedeprrafopredeter1">
    <w:name w:val="Fuente de párrafo predeter.1"/>
    <w:qFormat/>
  </w:style>
  <w:style w:type="character" w:customStyle="1" w:styleId="y2iqfc">
    <w:name w:val="y2iqfc"/>
    <w:basedOn w:val="Fuentedeprrafopredeter1"/>
    <w:qFormat/>
  </w:style>
  <w:style w:type="character" w:customStyle="1" w:styleId="EnlladInternet">
    <w:name w:val="Enllaç d'Internet"/>
    <w:qFormat/>
    <w:rPr>
      <w:color w:val="000080"/>
      <w:u w:val="single"/>
    </w:rPr>
  </w:style>
  <w:style w:type="character" w:customStyle="1" w:styleId="Pics">
    <w:name w:val="Pics"/>
    <w:qFormat/>
    <w:rPr>
      <w:rFonts w:ascii="OpenSymbol" w:eastAsia="OpenSymbol" w:hAnsi="OpenSymbol" w:cs="OpenSymbol"/>
    </w:rPr>
  </w:style>
  <w:style w:type="character" w:customStyle="1" w:styleId="mfasifort">
    <w:name w:val="Èmfasi fort"/>
    <w:qFormat/>
    <w:rPr>
      <w:b/>
      <w:bCs/>
    </w:rPr>
  </w:style>
  <w:style w:type="character" w:customStyle="1" w:styleId="mfasi1">
    <w:name w:val="Èmfasi1"/>
    <w:qFormat/>
    <w:rPr>
      <w:i/>
      <w:iCs/>
    </w:rPr>
  </w:style>
  <w:style w:type="character" w:customStyle="1" w:styleId="Smbolsdenumeraci">
    <w:name w:val="Símbols de numeració"/>
    <w:qFormat/>
  </w:style>
  <w:style w:type="character" w:customStyle="1" w:styleId="Numeracidelnies">
    <w:name w:val="Numeració de línies"/>
    <w:qFormat/>
  </w:style>
  <w:style w:type="character" w:customStyle="1" w:styleId="WWCharLFO8LVL1">
    <w:name w:val="WW_CharLFO8LVL1"/>
    <w:qFormat/>
    <w:rPr>
      <w:color w:val="000000"/>
    </w:rPr>
  </w:style>
  <w:style w:type="character" w:customStyle="1" w:styleId="WWCharLFO9LVL1">
    <w:name w:val="WW_CharLFO9LVL1"/>
    <w:qFormat/>
    <w:rPr>
      <w:rFonts w:ascii="Times New Roman" w:hAnsi="Times New Roman" w:cs="Times New Roman"/>
      <w:w w:val="100"/>
      <w:sz w:val="18"/>
      <w:szCs w:val="18"/>
      <w:lang w:val="ca-ES" w:eastAsia="en-US" w:bidi="ar-SA"/>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Symbol" w:hAnsi="Symbol" w:cs="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Symbol" w:hAnsi="Symbol" w:cs="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cs="Wingdings"/>
    </w:rPr>
  </w:style>
  <w:style w:type="character" w:customStyle="1" w:styleId="WWCharLFO12LVL1">
    <w:name w:val="WW_CharLFO12LVL1"/>
    <w:qFormat/>
    <w:rPr>
      <w:rFonts w:ascii="Symbol" w:hAnsi="Symbol" w:cs="Symbol"/>
    </w:rPr>
  </w:style>
  <w:style w:type="character" w:customStyle="1" w:styleId="WWCharLFO12LVL2">
    <w:name w:val="WW_CharLFO12LVL2"/>
    <w:qFormat/>
    <w:rPr>
      <w:rFonts w:ascii="Symbol" w:hAnsi="Symbol" w:cs="Symbol"/>
    </w:rPr>
  </w:style>
  <w:style w:type="character" w:customStyle="1" w:styleId="WWCharLFO12LVL3">
    <w:name w:val="WW_CharLFO12LVL3"/>
    <w:qFormat/>
    <w:rPr>
      <w:rFonts w:ascii="Symbol" w:hAnsi="Symbol" w:cs="Symbol"/>
    </w:rPr>
  </w:style>
  <w:style w:type="character" w:customStyle="1" w:styleId="WWCharLFO12LVL4">
    <w:name w:val="WW_CharLFO12LVL4"/>
    <w:qFormat/>
    <w:rPr>
      <w:rFonts w:ascii="Symbol" w:hAnsi="Symbol" w:cs="Symbol"/>
    </w:rPr>
  </w:style>
  <w:style w:type="character" w:customStyle="1" w:styleId="WWCharLFO12LVL5">
    <w:name w:val="WW_CharLFO12LVL5"/>
    <w:qFormat/>
    <w:rPr>
      <w:rFonts w:ascii="Symbol" w:hAnsi="Symbol" w:cs="Symbol"/>
    </w:rPr>
  </w:style>
  <w:style w:type="character" w:customStyle="1" w:styleId="WWCharLFO12LVL6">
    <w:name w:val="WW_CharLFO12LVL6"/>
    <w:qFormat/>
    <w:rPr>
      <w:rFonts w:ascii="Symbol" w:hAnsi="Symbol" w:cs="Symbol"/>
    </w:rPr>
  </w:style>
  <w:style w:type="character" w:customStyle="1" w:styleId="WWCharLFO12LVL7">
    <w:name w:val="WW_CharLFO12LVL7"/>
    <w:qFormat/>
    <w:rPr>
      <w:rFonts w:ascii="Symbol" w:hAnsi="Symbol" w:cs="Symbol"/>
    </w:rPr>
  </w:style>
  <w:style w:type="character" w:customStyle="1" w:styleId="WWCharLFO12LVL8">
    <w:name w:val="WW_CharLFO12LVL8"/>
    <w:qFormat/>
    <w:rPr>
      <w:rFonts w:ascii="Symbol" w:hAnsi="Symbol" w:cs="Symbol"/>
    </w:rPr>
  </w:style>
  <w:style w:type="character" w:customStyle="1" w:styleId="WWCharLFO12LVL9">
    <w:name w:val="WW_CharLFO12LVL9"/>
    <w:qFormat/>
    <w:rPr>
      <w:rFonts w:ascii="Symbol" w:hAnsi="Symbol" w:cs="Symbol"/>
    </w:rPr>
  </w:style>
  <w:style w:type="character" w:customStyle="1" w:styleId="WWCharLFO13LVL1">
    <w:name w:val="WW_CharLFO13LVL1"/>
    <w:qFormat/>
    <w:rPr>
      <w:rFonts w:ascii="Symbol" w:hAnsi="Symbol" w:cs="Symbol"/>
    </w:rPr>
  </w:style>
  <w:style w:type="character" w:customStyle="1" w:styleId="WWCharLFO13LVL2">
    <w:name w:val="WW_CharLFO13LVL2"/>
    <w:qFormat/>
    <w:rPr>
      <w:rFonts w:ascii="Symbol" w:hAnsi="Symbol" w:cs="Symbol"/>
    </w:rPr>
  </w:style>
  <w:style w:type="character" w:customStyle="1" w:styleId="WWCharLFO13LVL3">
    <w:name w:val="WW_CharLFO13LVL3"/>
    <w:qFormat/>
    <w:rPr>
      <w:rFonts w:ascii="Symbol" w:hAnsi="Symbol" w:cs="Symbol"/>
    </w:rPr>
  </w:style>
  <w:style w:type="character" w:customStyle="1" w:styleId="WWCharLFO13LVL4">
    <w:name w:val="WW_CharLFO13LVL4"/>
    <w:qFormat/>
    <w:rPr>
      <w:rFonts w:ascii="Symbol" w:hAnsi="Symbol" w:cs="Symbol"/>
    </w:rPr>
  </w:style>
  <w:style w:type="character" w:customStyle="1" w:styleId="WWCharLFO13LVL5">
    <w:name w:val="WW_CharLFO13LVL5"/>
    <w:qFormat/>
    <w:rPr>
      <w:rFonts w:ascii="Symbol" w:hAnsi="Symbol" w:cs="Symbol"/>
    </w:rPr>
  </w:style>
  <w:style w:type="character" w:customStyle="1" w:styleId="WWCharLFO13LVL6">
    <w:name w:val="WW_CharLFO13LVL6"/>
    <w:qFormat/>
    <w:rPr>
      <w:rFonts w:ascii="Symbol" w:hAnsi="Symbol" w:cs="Symbol"/>
    </w:rPr>
  </w:style>
  <w:style w:type="character" w:customStyle="1" w:styleId="WWCharLFO13LVL7">
    <w:name w:val="WW_CharLFO13LVL7"/>
    <w:qFormat/>
    <w:rPr>
      <w:rFonts w:ascii="Symbol" w:hAnsi="Symbol" w:cs="Symbol"/>
    </w:rPr>
  </w:style>
  <w:style w:type="character" w:customStyle="1" w:styleId="WWCharLFO13LVL8">
    <w:name w:val="WW_CharLFO13LVL8"/>
    <w:qFormat/>
    <w:rPr>
      <w:rFonts w:ascii="Symbol" w:hAnsi="Symbol" w:cs="Symbol"/>
    </w:rPr>
  </w:style>
  <w:style w:type="character" w:customStyle="1" w:styleId="WWCharLFO13LVL9">
    <w:name w:val="WW_CharLFO13LVL9"/>
    <w:qFormat/>
    <w:rPr>
      <w:rFonts w:ascii="Symbol" w:hAnsi="Symbol" w:cs="Symbol"/>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Symbol" w:hAnsi="Symbol" w:cs="Symbol"/>
    </w:rPr>
  </w:style>
  <w:style w:type="character" w:customStyle="1" w:styleId="WWCharLFO14LVL3">
    <w:name w:val="WW_CharLFO14LVL3"/>
    <w:qFormat/>
    <w:rPr>
      <w:rFonts w:ascii="Symbol" w:hAnsi="Symbol" w:cs="Symbol"/>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Symbol" w:hAnsi="Symbol" w:cs="Symbol"/>
    </w:rPr>
  </w:style>
  <w:style w:type="character" w:customStyle="1" w:styleId="WWCharLFO14LVL6">
    <w:name w:val="WW_CharLFO14LVL6"/>
    <w:qFormat/>
    <w:rPr>
      <w:rFonts w:ascii="Symbol" w:hAnsi="Symbol" w:cs="Symbol"/>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Symbol" w:hAnsi="Symbol" w:cs="Symbol"/>
    </w:rPr>
  </w:style>
  <w:style w:type="character" w:customStyle="1" w:styleId="WWCharLFO14LVL9">
    <w:name w:val="WW_CharLFO14LVL9"/>
    <w:qFormat/>
    <w:rPr>
      <w:rFonts w:ascii="Symbol" w:hAnsi="Symbol" w:cs="Symbol"/>
    </w:rPr>
  </w:style>
  <w:style w:type="character" w:customStyle="1" w:styleId="WWCharLFO15LVL1">
    <w:name w:val="WW_CharLFO15LVL1"/>
    <w:qFormat/>
    <w:rPr>
      <w:rFonts w:ascii="Symbol" w:hAnsi="Symbol" w:cs="Symbol"/>
    </w:rPr>
  </w:style>
  <w:style w:type="character" w:customStyle="1" w:styleId="WWCharLFO15LVL2">
    <w:name w:val="WW_CharLFO15LVL2"/>
    <w:qFormat/>
    <w:rPr>
      <w:rFonts w:ascii="Symbol" w:hAnsi="Symbol" w:cs="Symbol"/>
    </w:rPr>
  </w:style>
  <w:style w:type="character" w:customStyle="1" w:styleId="WWCharLFO15LVL3">
    <w:name w:val="WW_CharLFO15LVL3"/>
    <w:qFormat/>
    <w:rPr>
      <w:rFonts w:ascii="Symbol" w:hAnsi="Symbol" w:cs="Symbol"/>
    </w:rPr>
  </w:style>
  <w:style w:type="character" w:customStyle="1" w:styleId="WWCharLFO15LVL4">
    <w:name w:val="WW_CharLFO15LVL4"/>
    <w:qFormat/>
    <w:rPr>
      <w:rFonts w:ascii="Symbol" w:hAnsi="Symbol" w:cs="Symbol"/>
    </w:rPr>
  </w:style>
  <w:style w:type="character" w:customStyle="1" w:styleId="WWCharLFO15LVL5">
    <w:name w:val="WW_CharLFO15LVL5"/>
    <w:qFormat/>
    <w:rPr>
      <w:rFonts w:ascii="Symbol" w:hAnsi="Symbol" w:cs="Symbol"/>
    </w:rPr>
  </w:style>
  <w:style w:type="character" w:customStyle="1" w:styleId="WWCharLFO15LVL6">
    <w:name w:val="WW_CharLFO15LVL6"/>
    <w:qFormat/>
    <w:rPr>
      <w:rFonts w:ascii="Symbol" w:hAnsi="Symbol" w:cs="Symbol"/>
    </w:rPr>
  </w:style>
  <w:style w:type="character" w:customStyle="1" w:styleId="WWCharLFO15LVL7">
    <w:name w:val="WW_CharLFO15LVL7"/>
    <w:qFormat/>
    <w:rPr>
      <w:rFonts w:ascii="Symbol" w:hAnsi="Symbol" w:cs="Symbol"/>
    </w:rPr>
  </w:style>
  <w:style w:type="character" w:customStyle="1" w:styleId="WWCharLFO15LVL8">
    <w:name w:val="WW_CharLFO15LVL8"/>
    <w:qFormat/>
    <w:rPr>
      <w:rFonts w:ascii="Symbol" w:hAnsi="Symbol" w:cs="Symbol"/>
    </w:rPr>
  </w:style>
  <w:style w:type="character" w:customStyle="1" w:styleId="WWCharLFO15LVL9">
    <w:name w:val="WW_CharLFO15LVL9"/>
    <w:qFormat/>
    <w:rPr>
      <w:rFonts w:ascii="Symbol" w:hAnsi="Symbol" w:cs="Symbol"/>
    </w:rPr>
  </w:style>
  <w:style w:type="character" w:customStyle="1" w:styleId="WWCharLFO16LVL1">
    <w:name w:val="WW_CharLFO16LVL1"/>
    <w:qFormat/>
    <w:rPr>
      <w:rFonts w:ascii="Symbol" w:hAnsi="Symbol" w:cs="Symbol"/>
    </w:rPr>
  </w:style>
  <w:style w:type="character" w:customStyle="1" w:styleId="WWCharLFO16LVL2">
    <w:name w:val="WW_CharLFO16LVL2"/>
    <w:qFormat/>
    <w:rPr>
      <w:rFonts w:ascii="Symbol" w:hAnsi="Symbol" w:cs="Symbol"/>
    </w:rPr>
  </w:style>
  <w:style w:type="character" w:customStyle="1" w:styleId="WWCharLFO16LVL3">
    <w:name w:val="WW_CharLFO16LVL3"/>
    <w:qFormat/>
    <w:rPr>
      <w:rFonts w:ascii="Symbol" w:hAnsi="Symbol" w:cs="Symbol"/>
    </w:rPr>
  </w:style>
  <w:style w:type="character" w:customStyle="1" w:styleId="WWCharLFO16LVL4">
    <w:name w:val="WW_CharLFO16LVL4"/>
    <w:qFormat/>
    <w:rPr>
      <w:rFonts w:ascii="Symbol" w:hAnsi="Symbol" w:cs="Symbol"/>
    </w:rPr>
  </w:style>
  <w:style w:type="character" w:customStyle="1" w:styleId="WWCharLFO16LVL5">
    <w:name w:val="WW_CharLFO16LVL5"/>
    <w:qFormat/>
    <w:rPr>
      <w:rFonts w:ascii="Symbol" w:hAnsi="Symbol" w:cs="Symbol"/>
    </w:rPr>
  </w:style>
  <w:style w:type="character" w:customStyle="1" w:styleId="WWCharLFO16LVL6">
    <w:name w:val="WW_CharLFO16LVL6"/>
    <w:qFormat/>
    <w:rPr>
      <w:rFonts w:ascii="Symbol" w:hAnsi="Symbol" w:cs="Symbol"/>
    </w:rPr>
  </w:style>
  <w:style w:type="character" w:customStyle="1" w:styleId="WWCharLFO16LVL7">
    <w:name w:val="WW_CharLFO16LVL7"/>
    <w:qFormat/>
    <w:rPr>
      <w:rFonts w:ascii="Symbol" w:hAnsi="Symbol" w:cs="Symbol"/>
    </w:rPr>
  </w:style>
  <w:style w:type="character" w:customStyle="1" w:styleId="WWCharLFO16LVL8">
    <w:name w:val="WW_CharLFO16LVL8"/>
    <w:qFormat/>
    <w:rPr>
      <w:rFonts w:ascii="Symbol" w:hAnsi="Symbol" w:cs="Symbol"/>
    </w:rPr>
  </w:style>
  <w:style w:type="character" w:customStyle="1" w:styleId="WWCharLFO16LVL9">
    <w:name w:val="WW_CharLFO16LVL9"/>
    <w:qFormat/>
    <w:rPr>
      <w:rFonts w:ascii="Symbol" w:hAnsi="Symbol" w:cs="Symbol"/>
    </w:rPr>
  </w:style>
  <w:style w:type="character" w:customStyle="1" w:styleId="WWCharLFO17LVL1">
    <w:name w:val="WW_CharLFO17LVL1"/>
    <w:qFormat/>
    <w:rPr>
      <w:rFonts w:ascii="Symbol" w:hAnsi="Symbol" w:cs="Symbol"/>
    </w:rPr>
  </w:style>
  <w:style w:type="character" w:customStyle="1" w:styleId="WWCharLFO17LVL2">
    <w:name w:val="WW_CharLFO17LVL2"/>
    <w:qFormat/>
    <w:rPr>
      <w:rFonts w:ascii="Symbol" w:hAnsi="Symbol" w:cs="Symbol"/>
    </w:rPr>
  </w:style>
  <w:style w:type="character" w:customStyle="1" w:styleId="WWCharLFO17LVL3">
    <w:name w:val="WW_CharLFO17LVL3"/>
    <w:qFormat/>
    <w:rPr>
      <w:rFonts w:ascii="Symbol" w:hAnsi="Symbol" w:cs="Symbol"/>
    </w:rPr>
  </w:style>
  <w:style w:type="character" w:customStyle="1" w:styleId="WWCharLFO17LVL4">
    <w:name w:val="WW_CharLFO17LVL4"/>
    <w:qFormat/>
    <w:rPr>
      <w:rFonts w:ascii="Symbol" w:hAnsi="Symbol" w:cs="Symbol"/>
    </w:rPr>
  </w:style>
  <w:style w:type="character" w:customStyle="1" w:styleId="WWCharLFO17LVL5">
    <w:name w:val="WW_CharLFO17LVL5"/>
    <w:qFormat/>
    <w:rPr>
      <w:rFonts w:ascii="Symbol" w:hAnsi="Symbol" w:cs="Symbol"/>
    </w:rPr>
  </w:style>
  <w:style w:type="character" w:customStyle="1" w:styleId="WWCharLFO17LVL6">
    <w:name w:val="WW_CharLFO17LVL6"/>
    <w:qFormat/>
    <w:rPr>
      <w:rFonts w:ascii="Symbol" w:hAnsi="Symbol" w:cs="Symbol"/>
    </w:rPr>
  </w:style>
  <w:style w:type="character" w:customStyle="1" w:styleId="WWCharLFO17LVL7">
    <w:name w:val="WW_CharLFO17LVL7"/>
    <w:qFormat/>
    <w:rPr>
      <w:rFonts w:ascii="Symbol" w:hAnsi="Symbol" w:cs="Symbol"/>
    </w:rPr>
  </w:style>
  <w:style w:type="character" w:customStyle="1" w:styleId="WWCharLFO17LVL8">
    <w:name w:val="WW_CharLFO17LVL8"/>
    <w:qFormat/>
    <w:rPr>
      <w:rFonts w:ascii="Symbol" w:hAnsi="Symbol" w:cs="Symbol"/>
    </w:rPr>
  </w:style>
  <w:style w:type="character" w:customStyle="1" w:styleId="WWCharLFO17LVL9">
    <w:name w:val="WW_CharLFO17LVL9"/>
    <w:qFormat/>
    <w:rPr>
      <w:rFonts w:ascii="Symbol" w:hAnsi="Symbol" w:cs="Symbol"/>
    </w:rPr>
  </w:style>
  <w:style w:type="character" w:customStyle="1" w:styleId="mfasi">
    <w:name w:val="Èmfasi"/>
    <w:qFormat/>
    <w:rPr>
      <w:i/>
      <w:iCs/>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independent"/>
  </w:style>
  <w:style w:type="paragraph" w:styleId="Descripcin">
    <w:name w:val="caption"/>
    <w:basedOn w:val="LO-Normal"/>
    <w:qFormat/>
    <w:pPr>
      <w:suppressLineNumbers/>
      <w:spacing w:before="120" w:after="120"/>
    </w:pPr>
    <w:rPr>
      <w:i/>
      <w:iCs/>
      <w:szCs w:val="24"/>
    </w:rPr>
  </w:style>
  <w:style w:type="paragraph" w:customStyle="1" w:styleId="ndice">
    <w:name w:val="Índice"/>
    <w:basedOn w:val="Normal"/>
    <w:qFormat/>
    <w:pPr>
      <w:suppressLineNumbers/>
    </w:pPr>
    <w:rPr>
      <w:rFonts w:cs="Arial"/>
    </w:rPr>
  </w:style>
  <w:style w:type="paragraph" w:customStyle="1" w:styleId="Encapalament">
    <w:name w:val="Encapçalament"/>
    <w:basedOn w:val="LO-Normal"/>
    <w:next w:val="Textindependent"/>
    <w:qFormat/>
    <w:pPr>
      <w:keepNext/>
      <w:spacing w:before="240" w:after="120"/>
    </w:pPr>
    <w:rPr>
      <w:rFonts w:ascii="Liberation Sans" w:eastAsia="Microsoft YaHei" w:hAnsi="Liberation Sans"/>
      <w:sz w:val="28"/>
      <w:szCs w:val="28"/>
    </w:rPr>
  </w:style>
  <w:style w:type="paragraph" w:customStyle="1" w:styleId="ndex">
    <w:name w:val="Índex"/>
    <w:basedOn w:val="LO-Normal"/>
    <w:qFormat/>
    <w:pPr>
      <w:suppressLineNumbers/>
    </w:pPr>
  </w:style>
  <w:style w:type="paragraph" w:customStyle="1" w:styleId="Ttol1">
    <w:name w:val="Títol 1"/>
    <w:basedOn w:val="Encapalament"/>
    <w:next w:val="Textindependent"/>
    <w:qFormat/>
    <w:pPr>
      <w:numPr>
        <w:numId w:val="9"/>
      </w:numPr>
      <w:outlineLvl w:val="0"/>
    </w:pPr>
    <w:rPr>
      <w:rFonts w:ascii="Liberation Serif" w:eastAsia="Segoe UI" w:hAnsi="Liberation Serif" w:cs="Tahoma"/>
      <w:b/>
      <w:bCs/>
      <w:sz w:val="48"/>
      <w:szCs w:val="48"/>
    </w:rPr>
  </w:style>
  <w:style w:type="paragraph" w:customStyle="1" w:styleId="Ttol3">
    <w:name w:val="Títol 3"/>
    <w:basedOn w:val="Encapalament"/>
    <w:next w:val="Textindependent"/>
    <w:qFormat/>
    <w:pPr>
      <w:numPr>
        <w:ilvl w:val="2"/>
        <w:numId w:val="9"/>
      </w:numPr>
      <w:spacing w:before="140" w:after="0"/>
      <w:outlineLvl w:val="2"/>
    </w:pPr>
    <w:rPr>
      <w:rFonts w:ascii="Liberation Serif" w:eastAsia="Segoe UI" w:hAnsi="Liberation Serif" w:cs="Tahoma"/>
      <w:b/>
      <w:bCs/>
    </w:rPr>
  </w:style>
  <w:style w:type="paragraph" w:customStyle="1" w:styleId="LO-Normal">
    <w:name w:val="LO-Normal"/>
    <w:qFormat/>
    <w:pPr>
      <w:spacing w:after="160" w:line="252" w:lineRule="auto"/>
      <w:jc w:val="both"/>
    </w:pPr>
    <w:rPr>
      <w:rFonts w:cs="Arial"/>
      <w:color w:val="000000"/>
      <w:sz w:val="24"/>
    </w:rPr>
  </w:style>
  <w:style w:type="paragraph" w:customStyle="1" w:styleId="Textindependent">
    <w:name w:val="Text independent"/>
    <w:basedOn w:val="LO-Normal"/>
    <w:qFormat/>
    <w:pPr>
      <w:spacing w:after="140" w:line="276" w:lineRule="auto"/>
    </w:pPr>
  </w:style>
  <w:style w:type="paragraph" w:customStyle="1" w:styleId="Pargrafdellista">
    <w:name w:val="Paràgraf de llista"/>
    <w:basedOn w:val="LO-Normal"/>
    <w:uiPriority w:val="1"/>
    <w:qFormat/>
    <w:rsid w:val="1EFF1237"/>
    <w:pPr>
      <w:ind w:left="720"/>
    </w:pPr>
    <w:rPr>
      <w:lang w:val="es-ES"/>
    </w:rPr>
  </w:style>
  <w:style w:type="paragraph" w:customStyle="1" w:styleId="TableParagraph">
    <w:name w:val="Table Paragraph"/>
    <w:basedOn w:val="LO-Normal"/>
    <w:qFormat/>
    <w:pPr>
      <w:widowControl w:val="0"/>
      <w:spacing w:before="55" w:after="0" w:line="240" w:lineRule="auto"/>
      <w:jc w:val="right"/>
    </w:pPr>
    <w:rPr>
      <w:rFonts w:ascii="Times New Roman" w:eastAsia="Times New Roman" w:hAnsi="Times New Roman" w:cs="Times New Roman"/>
      <w:kern w:val="0"/>
      <w:sz w:val="22"/>
    </w:rPr>
  </w:style>
  <w:style w:type="paragraph" w:customStyle="1" w:styleId="Capaleraipeu">
    <w:name w:val="Capçalera i peu"/>
    <w:basedOn w:val="LO-Normal"/>
    <w:qFormat/>
  </w:style>
  <w:style w:type="paragraph" w:customStyle="1" w:styleId="Cabeceraypie">
    <w:name w:val="Cabecera y pie"/>
    <w:basedOn w:val="Normal"/>
    <w:qFormat/>
  </w:style>
  <w:style w:type="paragraph" w:styleId="Encabezado">
    <w:name w:val="header"/>
    <w:basedOn w:val="LO-Normal"/>
    <w:pPr>
      <w:tabs>
        <w:tab w:val="center" w:pos="4252"/>
        <w:tab w:val="right" w:pos="8504"/>
      </w:tabs>
      <w:spacing w:after="0" w:line="240" w:lineRule="auto"/>
    </w:pPr>
  </w:style>
  <w:style w:type="paragraph" w:customStyle="1" w:styleId="Peu">
    <w:name w:val="Peu"/>
    <w:basedOn w:val="LO-Normal"/>
    <w:qFormat/>
    <w:pPr>
      <w:tabs>
        <w:tab w:val="center" w:pos="4252"/>
        <w:tab w:val="right" w:pos="8504"/>
      </w:tabs>
      <w:spacing w:after="0" w:line="240" w:lineRule="auto"/>
    </w:pPr>
  </w:style>
  <w:style w:type="paragraph" w:customStyle="1" w:styleId="Contingutdelmarc">
    <w:name w:val="Contingut del marc"/>
    <w:basedOn w:val="LO-Normal"/>
    <w:qFormat/>
  </w:style>
  <w:style w:type="paragraph" w:customStyle="1" w:styleId="Lniahoritzontal">
    <w:name w:val="Línia horitzontal"/>
    <w:basedOn w:val="LO-Normal"/>
    <w:next w:val="Textindependent"/>
    <w:qFormat/>
    <w:pPr>
      <w:suppressLineNumbers/>
      <w:pBdr>
        <w:bottom w:val="double" w:sz="2" w:space="0" w:color="808080"/>
      </w:pBdr>
      <w:spacing w:after="283"/>
    </w:pPr>
    <w:rPr>
      <w:sz w:val="12"/>
      <w:szCs w:val="12"/>
    </w:rPr>
  </w:style>
  <w:style w:type="paragraph" w:customStyle="1" w:styleId="Citacions">
    <w:name w:val="Citacions"/>
    <w:basedOn w:val="LO-Normal"/>
    <w:qFormat/>
    <w:pPr>
      <w:spacing w:after="283"/>
      <w:ind w:left="567" w:right="567"/>
    </w:pPr>
  </w:style>
  <w:style w:type="paragraph" w:customStyle="1" w:styleId="Contingutdelataula">
    <w:name w:val="Contingut de la taula"/>
    <w:basedOn w:val="LO-Normal"/>
    <w:qFormat/>
    <w:pPr>
      <w:widowControl w:val="0"/>
      <w:suppressLineNumbers/>
    </w:pPr>
  </w:style>
  <w:style w:type="paragraph" w:customStyle="1" w:styleId="Default">
    <w:name w:val="Default"/>
    <w:qFormat/>
    <w:rPr>
      <w:color w:val="000000"/>
      <w:sz w:val="24"/>
    </w:rPr>
  </w:style>
  <w:style w:type="paragraph" w:customStyle="1" w:styleId="Encapalamentdelataula">
    <w:name w:val="Encapçalament de la taula"/>
    <w:basedOn w:val="Contingutdelataula"/>
    <w:qFormat/>
    <w:pPr>
      <w:jc w:val="center"/>
    </w:pPr>
    <w:rPr>
      <w:b/>
      <w:bCs/>
    </w:rPr>
  </w:style>
  <w:style w:type="paragraph" w:customStyle="1" w:styleId="Revisi">
    <w:name w:val="Revisió"/>
    <w:qFormat/>
    <w:pPr>
      <w:suppressAutoHyphens w:val="0"/>
    </w:pPr>
    <w:rPr>
      <w:rFonts w:cs="Arial"/>
      <w:color w:val="000000"/>
      <w:sz w:val="24"/>
    </w:rPr>
  </w:style>
  <w:style w:type="paragraph" w:styleId="Piedepgina">
    <w:name w:val="footer"/>
    <w:basedOn w:val="Capaleraipeu"/>
    <w:pPr>
      <w:suppressLineNumbers/>
      <w:tabs>
        <w:tab w:val="center" w:pos="4819"/>
        <w:tab w:val="right" w:pos="9638"/>
      </w:tabs>
    </w:pPr>
  </w:style>
  <w:style w:type="paragraph" w:styleId="Prrafodelista">
    <w:name w:val="List Paragraph"/>
    <w:basedOn w:val="Normal"/>
    <w:uiPriority w:val="34"/>
    <w:qFormat/>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24</Pages>
  <Words>8404</Words>
  <Characters>46225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Ley 6/2013, de 7 de noviembre, de pesca marítima, marisqueo y acuicultura en las Illes Balears.</vt:lpstr>
    </vt:vector>
  </TitlesOfParts>
  <Company/>
  <LinksUpToDate>false</LinksUpToDate>
  <CharactersWithSpaces>54520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6/2013, de 7 de noviembre, de pesca marítima, marisqueo y acuicultura en las Illes Balears.</dc:title>
  <dc:subject>BOE-A-2013-12688 actualizado a 9 de febrero de 2019</dc:subject>
  <dc:creator>Agencia Estatal Boletín Oficial del Estado</dc:creator>
  <cp:keywords>BOE-A-2013-12688 BOE Legislación consolidada Agencia Estatal Boletín Oficial del Estado</cp:keywords>
  <dc:description/>
  <cp:lastModifiedBy>Damian Bover Garcias</cp:lastModifiedBy>
  <cp:revision>277</cp:revision>
  <cp:lastPrinted>2024-07-03T09:13:00Z</cp:lastPrinted>
  <dcterms:created xsi:type="dcterms:W3CDTF">2025-08-04T09:55:00Z</dcterms:created>
  <dcterms:modified xsi:type="dcterms:W3CDTF">2025-08-26T10:53:00Z</dcterms:modified>
  <dc:language>es-ES</dc:language>
</cp:coreProperties>
</file>