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28F5" w14:textId="4958D100" w:rsidR="00592E02" w:rsidRDefault="00344790">
      <w:pPr>
        <w:rPr>
          <w:b/>
          <w:bCs/>
          <w:lang w:val="es-ES"/>
        </w:rPr>
      </w:pPr>
      <w:r>
        <w:rPr>
          <w:rFonts w:cs="Noto Sans"/>
          <w:b/>
          <w:bCs/>
        </w:rPr>
        <w:t>Projecte d’Ordre</w:t>
      </w:r>
      <w:r w:rsidR="00000000">
        <w:rPr>
          <w:rFonts w:cs="Noto Sans"/>
          <w:b/>
          <w:bCs/>
        </w:rPr>
        <w:t xml:space="preserve"> de</w:t>
      </w:r>
      <w:r w:rsidR="00000000">
        <w:rPr>
          <w:rFonts w:cs="Noto Sans"/>
          <w:b/>
          <w:bCs/>
          <w:lang w:val="es-ES"/>
        </w:rPr>
        <w:t xml:space="preserve">l </w:t>
      </w:r>
      <w:r w:rsidR="00000000">
        <w:rPr>
          <w:rFonts w:cs="Noto Sans"/>
          <w:b/>
          <w:bCs/>
        </w:rPr>
        <w:t xml:space="preserve">conseller d’Agricultura, Pesca i </w:t>
      </w:r>
      <w:r w:rsidR="00000000">
        <w:rPr>
          <w:rFonts w:cs="Noto Sans"/>
          <w:b/>
          <w:bCs/>
          <w:lang w:val="es-ES"/>
        </w:rPr>
        <w:t>Medi Natural</w:t>
      </w:r>
      <w:r w:rsidR="00000000">
        <w:rPr>
          <w:rFonts w:cs="Noto Sans"/>
          <w:b/>
          <w:bCs/>
        </w:rPr>
        <w:t xml:space="preserve"> </w:t>
      </w:r>
      <w:r w:rsidR="00000000">
        <w:rPr>
          <w:rFonts w:cs="Noto Sans"/>
          <w:b/>
          <w:bCs/>
          <w:lang w:val="es-ES"/>
        </w:rPr>
        <w:t xml:space="preserve">de </w:t>
      </w:r>
      <w:r w:rsidR="00000000">
        <w:rPr>
          <w:b/>
          <w:bCs/>
          <w:lang w:val="es-ES"/>
        </w:rPr>
        <w:t xml:space="preserve">modificació de </w:t>
      </w:r>
      <w:r w:rsidR="00000000">
        <w:rPr>
          <w:rFonts w:cs="Noto Sans"/>
          <w:b/>
          <w:bCs/>
          <w:lang w:val="es-ES"/>
        </w:rPr>
        <w:t>l’</w:t>
      </w:r>
      <w:r w:rsidR="00000000">
        <w:rPr>
          <w:b/>
          <w:bCs/>
          <w:lang w:val="es-ES"/>
        </w:rPr>
        <w:t>Ordre 7/2024 del conseller d’Agricultura, Pesca i Medi Natural, de 29 de febrer de 2024, per la qual s’estableixen les bases reguladores per a la concessió de subvencions en el marc del programa del Fons Europeu Marítim, de Pesca i d’Aqüicultura corresponent al període 2021-2027</w:t>
      </w:r>
    </w:p>
    <w:p w14:paraId="6A1D3371" w14:textId="77777777" w:rsidR="00592E02" w:rsidRDefault="00592E02">
      <w:pPr>
        <w:rPr>
          <w:rFonts w:cs="Noto Sans"/>
          <w:b/>
          <w:bCs/>
          <w:lang w:val="es-ES"/>
        </w:rPr>
      </w:pPr>
    </w:p>
    <w:p w14:paraId="7D4B5A3A" w14:textId="77777777" w:rsidR="00592E02" w:rsidRDefault="00000000">
      <w:pPr>
        <w:jc w:val="center"/>
        <w:rPr>
          <w:b/>
          <w:bCs/>
          <w:lang w:val="es-ES"/>
        </w:rPr>
      </w:pPr>
      <w:r>
        <w:rPr>
          <w:b/>
          <w:bCs/>
          <w:lang w:val="es-ES"/>
        </w:rPr>
        <w:t>PREÀMBUL</w:t>
      </w:r>
    </w:p>
    <w:p w14:paraId="4ED15DA7" w14:textId="77777777" w:rsidR="00592E02" w:rsidRDefault="00592E02">
      <w:pPr>
        <w:rPr>
          <w:lang w:val="es-ES"/>
        </w:rPr>
      </w:pPr>
    </w:p>
    <w:p w14:paraId="5102AFCD" w14:textId="77777777" w:rsidR="00592E02" w:rsidRDefault="00000000">
      <w:pPr>
        <w:jc w:val="center"/>
        <w:rPr>
          <w:b/>
          <w:bCs/>
          <w:lang w:val="es-ES"/>
        </w:rPr>
      </w:pPr>
      <w:r>
        <w:rPr>
          <w:b/>
          <w:bCs/>
          <w:lang w:val="es-ES"/>
        </w:rPr>
        <w:t>I</w:t>
      </w:r>
    </w:p>
    <w:p w14:paraId="6F1F2708" w14:textId="77777777" w:rsidR="00592E02" w:rsidRDefault="00592E02">
      <w:pPr>
        <w:jc w:val="center"/>
        <w:rPr>
          <w:b/>
          <w:bCs/>
          <w:lang w:val="es-ES"/>
        </w:rPr>
      </w:pPr>
    </w:p>
    <w:p w14:paraId="19295CC3" w14:textId="77777777" w:rsidR="00592E02" w:rsidRDefault="00000000">
      <w:pPr>
        <w:rPr>
          <w:rFonts w:cs="Noto Sans"/>
          <w:lang w:val="es-ES"/>
        </w:rPr>
      </w:pPr>
      <w:r>
        <w:rPr>
          <w:lang w:val="es-ES"/>
        </w:rPr>
        <w:t xml:space="preserve">En data 5 de març de 2024 es va publicar al </w:t>
      </w:r>
      <w:r>
        <w:rPr>
          <w:rFonts w:cs="Noto Sans"/>
          <w:i/>
          <w:iCs/>
        </w:rPr>
        <w:t>Butlletí Oficial de les Illes Balears</w:t>
      </w:r>
      <w:r>
        <w:rPr>
          <w:rFonts w:cs="Noto Sans"/>
        </w:rPr>
        <w:t xml:space="preserve"> </w:t>
      </w:r>
      <w:r>
        <w:rPr>
          <w:rFonts w:cs="Noto Sans"/>
          <w:lang w:val="es-ES"/>
        </w:rPr>
        <w:t>(BOIB) núm. 32, l’Ordre 7/2024 del conseller d’Agricultura, Pesca i Medi Natural, de 29 de febrer de 2024, per la qual s’estableixen les bases reguladores per a la concessió de subvencions en el marc del programa del Fons Europeu Marítim, de Pesca i d’Aqüicultura corresponent al període 2021-2027.</w:t>
      </w:r>
    </w:p>
    <w:p w14:paraId="62D86C3F" w14:textId="77777777" w:rsidR="00592E02" w:rsidRDefault="00592E02">
      <w:pPr>
        <w:rPr>
          <w:rFonts w:cs="Noto Sans"/>
          <w:lang w:val="es-ES"/>
        </w:rPr>
      </w:pPr>
    </w:p>
    <w:p w14:paraId="23BD8AB3" w14:textId="77777777" w:rsidR="00592E02" w:rsidRDefault="00000000">
      <w:pPr>
        <w:rPr>
          <w:lang w:val="es-ES"/>
        </w:rPr>
      </w:pPr>
      <w:r>
        <w:rPr>
          <w:rFonts w:cs="Noto Sans"/>
          <w:lang w:val="es-ES"/>
        </w:rPr>
        <w:t xml:space="preserve">El programa “Fons Europeu Marítim, de Pesca i d’Aqüicultura: Programa per a Espanya” va ser aprovat per la Comissió Europea en data 29 de novembre de 2022, la qual cosa permet la posada en marxa de les ajudes previstes al Reglament (UE) núm. 2021/1139 del Parlament Europeu i del Consell, de 7 de juliol de 2021, pel qual s’estableix el Fons Europeu Marítim, de Pesca i d’Aqüicultura (FEMPA) i pel qual es modifica el Reglament (UE) </w:t>
      </w:r>
      <w:r>
        <w:rPr>
          <w:lang w:val="es-ES"/>
        </w:rPr>
        <w:t>núm.</w:t>
      </w:r>
      <w:r>
        <w:rPr>
          <w:rFonts w:cs="Noto Sans"/>
          <w:lang w:val="es-ES"/>
        </w:rPr>
        <w:t xml:space="preserve"> 2017/1004, publicat al </w:t>
      </w:r>
      <w:r>
        <w:rPr>
          <w:i/>
          <w:iCs/>
          <w:lang w:val="es-ES"/>
        </w:rPr>
        <w:t xml:space="preserve">Diari Oficial de la Unió Europea </w:t>
      </w:r>
      <w:r>
        <w:rPr>
          <w:lang w:val="es-ES"/>
        </w:rPr>
        <w:t>en data 13 de juliol de 2021.</w:t>
      </w:r>
    </w:p>
    <w:p w14:paraId="397EB863" w14:textId="77777777" w:rsidR="00592E02" w:rsidRDefault="00592E02">
      <w:pPr>
        <w:rPr>
          <w:lang w:val="es-ES"/>
        </w:rPr>
      </w:pPr>
    </w:p>
    <w:p w14:paraId="4D74931E" w14:textId="77777777" w:rsidR="00592E02" w:rsidRDefault="00000000">
      <w:pPr>
        <w:rPr>
          <w:lang w:val="es-ES"/>
        </w:rPr>
      </w:pPr>
      <w:r>
        <w:rPr>
          <w:lang w:val="es-ES"/>
        </w:rPr>
        <w:t>Així mateix, el Reglament (UE) núm. 2021/1060 del Parlament Europeu i del Consell, de 24 de juny de 2021, pel qual s'estableixen les disposicions comunes relatives al Fons Europeu de Desenvolupament Regional, al Fons Social Europeu Plus, al Fons de Cohesió, al Fons de Transició Justa i al Fons Europeu Marítim, de Pesca i d'Aqüicultura i les normes financeres per a aquests Fons i per al Fons d'Asil, Migració i Integració, el Fons de Seguretat Interior i l'Instrument de Suport Financer a la Gestió de Fronteres i la Política de Visats, defineix les modalitats i les condicions de les intervencions comunitàries en el sector de la pesca, l'aqüicultura i la comercialització i transformació de productes pesquers.</w:t>
      </w:r>
    </w:p>
    <w:p w14:paraId="0C3CC7FC" w14:textId="77777777" w:rsidR="00592E02" w:rsidRDefault="00592E02">
      <w:pPr>
        <w:rPr>
          <w:lang w:val="es-ES"/>
        </w:rPr>
      </w:pPr>
    </w:p>
    <w:p w14:paraId="12D0B91C" w14:textId="77777777" w:rsidR="00592E02" w:rsidRDefault="00000000">
      <w:pPr>
        <w:jc w:val="center"/>
        <w:rPr>
          <w:b/>
          <w:bCs/>
          <w:lang w:val="es-ES"/>
        </w:rPr>
      </w:pPr>
      <w:r>
        <w:rPr>
          <w:b/>
          <w:bCs/>
          <w:lang w:val="es-ES"/>
        </w:rPr>
        <w:t>II</w:t>
      </w:r>
    </w:p>
    <w:p w14:paraId="6C5A213D" w14:textId="77777777" w:rsidR="00592E02" w:rsidRDefault="00592E02">
      <w:pPr>
        <w:jc w:val="both"/>
        <w:rPr>
          <w:b/>
          <w:bCs/>
          <w:lang w:val="es-ES"/>
        </w:rPr>
      </w:pPr>
    </w:p>
    <w:p w14:paraId="58BA1898" w14:textId="77777777" w:rsidR="00592E02" w:rsidRDefault="00000000">
      <w:pPr>
        <w:rPr>
          <w:lang w:val="es-ES"/>
        </w:rPr>
      </w:pPr>
      <w:r>
        <w:rPr>
          <w:lang w:val="es-ES"/>
        </w:rPr>
        <w:t>Es considera necessària la modificació de l’esmentada Ordre 7/2024, de 29 de febrer de 2024, donada la necessitat d’adaptar el seu contingut a la normativa de regulació i atès que s’han detectat l’existència d’errades que s’han de corregir.</w:t>
      </w:r>
    </w:p>
    <w:p w14:paraId="764E6DBC" w14:textId="77777777" w:rsidR="00592E02" w:rsidRDefault="00592E02">
      <w:pPr>
        <w:jc w:val="both"/>
        <w:rPr>
          <w:lang w:val="es-ES"/>
        </w:rPr>
      </w:pPr>
    </w:p>
    <w:p w14:paraId="39D4C26E" w14:textId="77777777" w:rsidR="00592E02" w:rsidRDefault="00000000">
      <w:pPr>
        <w:rPr>
          <w:bCs/>
          <w:lang w:val="es-ES"/>
        </w:rPr>
      </w:pPr>
      <w:r>
        <w:rPr>
          <w:lang w:val="es-ES"/>
        </w:rPr>
        <w:t xml:space="preserve">Concretament, per una banda, </w:t>
      </w:r>
      <w:r>
        <w:rPr>
          <w:bCs/>
          <w:lang w:val="es-ES"/>
        </w:rPr>
        <w:t xml:space="preserve">respecte a l’article 4 de l’Ordre 7/2024, de 29 de febrer, relatiu a la incompatibilitat amb altres ajuts, cal afegir l’article 194 del Reglament (UE, Euratom) </w:t>
      </w:r>
      <w:r>
        <w:rPr>
          <w:lang w:val="es-ES"/>
        </w:rPr>
        <w:t xml:space="preserve">núm. </w:t>
      </w:r>
      <w:r>
        <w:rPr>
          <w:bCs/>
          <w:lang w:val="es-ES"/>
        </w:rPr>
        <w:t>2024/2509 del Parlament Europeu i del Consell, de 23 de setembre de 2024, sobre les normes financeres aplicables al pressupost general de la Unió, pel canvi del Reglament Euratom.</w:t>
      </w:r>
    </w:p>
    <w:p w14:paraId="3233B6A0" w14:textId="77777777" w:rsidR="00592E02" w:rsidRDefault="00592E02">
      <w:pPr>
        <w:rPr>
          <w:bCs/>
          <w:lang w:val="es-ES"/>
        </w:rPr>
      </w:pPr>
    </w:p>
    <w:p w14:paraId="04F1E89A" w14:textId="77777777" w:rsidR="00592E02" w:rsidRDefault="00000000">
      <w:pPr>
        <w:rPr>
          <w:bCs/>
          <w:lang w:val="es-ES"/>
        </w:rPr>
      </w:pPr>
      <w:r>
        <w:rPr>
          <w:bCs/>
          <w:lang w:val="es-ES"/>
        </w:rPr>
        <w:t>Atès que el Reglament (UE) núm. 2021/1060 del Parlament Europeu i del Consell, de 24 de juny de 2021, pel qual s’estableixen les disposicions comunes relatives al Fons Europeu de Desenvolupament Regional, al Fons Social Europeu Plus, al Fons de Cohesió, al Fons de Transició Justa i al Fons Europeu Marítim, de Pesca i Aqüicultura, així com les normes financeres per aquests Fons i pel Fons d’Asil, Migració i Integració, el Fons de Seguretat Interior i l’Instrument de Suport Financer a la Gestió de Fronteres i la Política de Visats, permet la subvencionalitat de l’impost sobre el valor afegit (IVA) en unes condicions més favorables a les que recull l’Ordre de bases, s’afegeix un paràgraf al punt 1 de l’article 6 de l’esmentada Ordre 7/2024, de 29 de febrer, en el qual s’indiquen els supòsits de subvencionalitat de l’IVA. Així mateix, i d’acord amb l’anterior, s’ha de suprimir l’article 6.4.</w:t>
      </w:r>
      <w:r>
        <w:rPr>
          <w:bCs/>
          <w:i/>
          <w:iCs/>
          <w:lang w:val="es-ES"/>
        </w:rPr>
        <w:t>d</w:t>
      </w:r>
      <w:r>
        <w:rPr>
          <w:bCs/>
          <w:lang w:val="es-ES"/>
        </w:rPr>
        <w:t>.</w:t>
      </w:r>
    </w:p>
    <w:p w14:paraId="4F751291" w14:textId="77777777" w:rsidR="00592E02" w:rsidRDefault="00592E02">
      <w:pPr>
        <w:rPr>
          <w:bCs/>
          <w:lang w:val="es-ES"/>
        </w:rPr>
      </w:pPr>
    </w:p>
    <w:p w14:paraId="59562E79" w14:textId="77777777" w:rsidR="00592E02" w:rsidRDefault="00000000">
      <w:pPr>
        <w:rPr>
          <w:bCs/>
          <w:lang w:val="es-ES"/>
        </w:rPr>
      </w:pPr>
      <w:r>
        <w:rPr>
          <w:bCs/>
          <w:lang w:val="es-ES"/>
        </w:rPr>
        <w:t xml:space="preserve">Així mateix, l’esmentat Reglament (UE) </w:t>
      </w:r>
      <w:r>
        <w:rPr>
          <w:lang w:val="es-ES"/>
        </w:rPr>
        <w:t xml:space="preserve">núm. </w:t>
      </w:r>
      <w:r>
        <w:rPr>
          <w:bCs/>
          <w:lang w:val="es-ES"/>
        </w:rPr>
        <w:t>2021/1060 del Parlament Europeu i del Consell, de 24 de juny de 2021, respecte a la durabilitat de les operacions, permet reduir el termini a tres anys pel que fa als casos de manteniment d’inversions o de llocs de treball creats per pimes, per la qual cosa s’ha d’afegir aquesta possibilitat a l’article 17.</w:t>
      </w:r>
      <w:r>
        <w:rPr>
          <w:bCs/>
          <w:i/>
          <w:iCs/>
          <w:lang w:val="es-ES"/>
        </w:rPr>
        <w:t>c</w:t>
      </w:r>
      <w:r>
        <w:rPr>
          <w:bCs/>
          <w:lang w:val="es-ES"/>
        </w:rPr>
        <w:t xml:space="preserve"> de l’Ordre 7/2024, de 29 de febrer.</w:t>
      </w:r>
    </w:p>
    <w:p w14:paraId="5A41C414" w14:textId="77777777" w:rsidR="00592E02" w:rsidRDefault="00592E02">
      <w:pPr>
        <w:rPr>
          <w:bCs/>
          <w:lang w:val="es-ES"/>
        </w:rPr>
      </w:pPr>
    </w:p>
    <w:p w14:paraId="280C113A" w14:textId="77777777" w:rsidR="00592E02" w:rsidRDefault="00000000">
      <w:pPr>
        <w:rPr>
          <w:bCs/>
          <w:lang w:val="es-ES"/>
        </w:rPr>
      </w:pPr>
      <w:r>
        <w:rPr>
          <w:bCs/>
          <w:lang w:val="es-ES"/>
        </w:rPr>
        <w:t>Pel que fa a l’article 17.</w:t>
      </w:r>
      <w:r>
        <w:rPr>
          <w:bCs/>
          <w:i/>
          <w:iCs/>
          <w:lang w:val="es-ES"/>
        </w:rPr>
        <w:t>h</w:t>
      </w:r>
      <w:r>
        <w:rPr>
          <w:bCs/>
          <w:lang w:val="es-ES"/>
        </w:rPr>
        <w:t xml:space="preserve"> de l’esmentada Ordre 7/2024, s’han d’incorporar els articles 47 del Reglament (UE) </w:t>
      </w:r>
      <w:r>
        <w:rPr>
          <w:lang w:val="es-ES"/>
        </w:rPr>
        <w:t xml:space="preserve">núm. </w:t>
      </w:r>
      <w:r>
        <w:rPr>
          <w:bCs/>
          <w:lang w:val="es-ES"/>
        </w:rPr>
        <w:t xml:space="preserve">2021/1060 del Parlament Europeu i del Consell, de 24 de juny, i l’article 60 del Reglament (UE) </w:t>
      </w:r>
      <w:r>
        <w:rPr>
          <w:lang w:val="es-ES"/>
        </w:rPr>
        <w:t>núm.</w:t>
      </w:r>
      <w:r>
        <w:rPr>
          <w:bCs/>
          <w:lang w:val="es-ES"/>
        </w:rPr>
        <w:t xml:space="preserve"> 2021/1139 del Parlament Europeu i del Consell, de 7 de juliol de 2021.</w:t>
      </w:r>
    </w:p>
    <w:p w14:paraId="71FDAF5D" w14:textId="77777777" w:rsidR="00592E02" w:rsidRDefault="00592E02">
      <w:pPr>
        <w:rPr>
          <w:bCs/>
          <w:lang w:val="es-ES"/>
        </w:rPr>
      </w:pPr>
    </w:p>
    <w:p w14:paraId="2C3D8610" w14:textId="77777777" w:rsidR="00592E02" w:rsidRDefault="00000000">
      <w:pPr>
        <w:jc w:val="both"/>
        <w:rPr>
          <w:bCs/>
          <w:lang w:val="es-ES"/>
        </w:rPr>
      </w:pPr>
      <w:r>
        <w:rPr>
          <w:bCs/>
          <w:lang w:val="es-ES"/>
        </w:rPr>
        <w:t xml:space="preserve">Per altra banda, </w:t>
      </w:r>
      <w:r>
        <w:rPr>
          <w:lang w:val="es-ES"/>
        </w:rPr>
        <w:t>s’ha detectat una errada a l’article 3 en relació amb l’article de referència, sent el</w:t>
      </w:r>
      <w:r>
        <w:rPr>
          <w:bCs/>
          <w:lang w:val="es-ES"/>
        </w:rPr>
        <w:t xml:space="preserve"> correcte l’article 40 del Reglament (UE) 2021/1139 del Parlament i del Consell, de 7 de juliol.</w:t>
      </w:r>
    </w:p>
    <w:p w14:paraId="4F4CD047" w14:textId="77777777" w:rsidR="00592E02" w:rsidRDefault="00592E02">
      <w:pPr>
        <w:rPr>
          <w:bCs/>
          <w:lang w:val="es-ES"/>
        </w:rPr>
      </w:pPr>
    </w:p>
    <w:p w14:paraId="50DF2409" w14:textId="77777777" w:rsidR="00592E02" w:rsidRDefault="00000000">
      <w:pPr>
        <w:rPr>
          <w:bCs/>
          <w:lang w:val="es-ES"/>
        </w:rPr>
      </w:pPr>
      <w:r>
        <w:rPr>
          <w:bCs/>
          <w:lang w:val="es-ES"/>
        </w:rPr>
        <w:t>Finalment, pel que fa al punt 8 de l’article 13, l’òrgan competent per resoldre els expedients és l’Organisme Intermedi de Gestió, d’acord amb el Dictamen de la Direcció General d’Ordenació Pesquera i Aqüicultura, de data 17 de juny de 2024, pel qual es designa organisme intermedi de gestió del FEMPA a la Vicepresidència en matèria de pesca del FOGAIBA. En aquest sentit, i considerant la possibilitat que pugui canviar l’òrgan en el qual recau la condició d’Organisme Intermedi de Gestió, s’estima convenient que la remissió sigui a aquest en general.</w:t>
      </w:r>
    </w:p>
    <w:p w14:paraId="1B764ADC" w14:textId="77777777" w:rsidR="00592E02" w:rsidRDefault="00592E02">
      <w:pPr>
        <w:rPr>
          <w:bCs/>
          <w:color w:val="FF0000"/>
          <w:lang w:val="es-ES"/>
        </w:rPr>
      </w:pPr>
    </w:p>
    <w:p w14:paraId="24228861" w14:textId="77777777" w:rsidR="00592E02" w:rsidRDefault="00000000">
      <w:pPr>
        <w:jc w:val="center"/>
        <w:rPr>
          <w:b/>
          <w:bCs/>
          <w:lang w:val="es-ES"/>
        </w:rPr>
      </w:pPr>
      <w:r>
        <w:rPr>
          <w:b/>
          <w:bCs/>
          <w:lang w:val="es-ES"/>
        </w:rPr>
        <w:t>III</w:t>
      </w:r>
    </w:p>
    <w:p w14:paraId="5BD6BC64" w14:textId="77777777" w:rsidR="00592E02" w:rsidRDefault="00592E02">
      <w:pPr>
        <w:rPr>
          <w:lang w:val="es-ES"/>
        </w:rPr>
      </w:pPr>
    </w:p>
    <w:p w14:paraId="58062949" w14:textId="77777777" w:rsidR="00592E02" w:rsidRDefault="00000000">
      <w:pPr>
        <w:rPr>
          <w:lang w:val="es-ES"/>
        </w:rPr>
      </w:pPr>
      <w:r>
        <w:rPr>
          <w:lang w:val="es-ES"/>
        </w:rPr>
        <w:lastRenderedPageBreak/>
        <w:t>En l’elaboració d’aquesta ordre s’han seguit els principis de bona regulació que estableix l'article 49 de la Llei 1/2019, de 31 de gener, del Govern de les Illes Balears. En aquest sentit, l'ordre respon al principi de necessitat, atès que, d'acord amb l'article 12 de l’esmentat text refós de la Llei de subvencions, no es pot iniciar el procediment de concessió de subvencions sense que el conseller o la consellera competent hagi establert prèviament per ordre, en ús de la seva potestat reglamentària, les bases reguladores corresponents. I atès que aquestes s’estableixen mitjançant una disposició de caràcter reglamentari, és necessària una norma del mateix rang normatiu per modificar-la, en aplicació del principi de jerarquia normativa.</w:t>
      </w:r>
    </w:p>
    <w:p w14:paraId="7F6AB101" w14:textId="77777777" w:rsidR="00592E02" w:rsidRDefault="00592E02">
      <w:pPr>
        <w:rPr>
          <w:lang w:val="es-ES"/>
        </w:rPr>
      </w:pPr>
    </w:p>
    <w:p w14:paraId="3B156B40" w14:textId="77777777" w:rsidR="00592E02" w:rsidRDefault="00000000">
      <w:pPr>
        <w:rPr>
          <w:lang w:val="es-ES"/>
        </w:rPr>
      </w:pPr>
      <w:r>
        <w:rPr>
          <w:lang w:val="es-ES"/>
        </w:rPr>
        <w:t>En relació amb el principi d'eficàcia, existeixen raons d'interès general per donar suport a un desenvolupament sostenible de l’activitat pesquera i de la producció aqüícola. Amb les ajudes que regula aquesta ordre es pretén invertir per aconseguir que els sectors de la pesca i l’aqüicultura siguin més competitius i per desenvolupar una economia blava sostenible, així com nous mercats i tecnologies.</w:t>
      </w:r>
    </w:p>
    <w:p w14:paraId="3FC041B4" w14:textId="77777777" w:rsidR="00592E02" w:rsidRDefault="00592E02">
      <w:pPr>
        <w:rPr>
          <w:lang w:val="es-ES"/>
        </w:rPr>
      </w:pPr>
    </w:p>
    <w:p w14:paraId="4DA56CDB" w14:textId="77777777" w:rsidR="00592E02" w:rsidRDefault="00000000">
      <w:pPr>
        <w:rPr>
          <w:lang w:val="es-ES"/>
        </w:rPr>
      </w:pPr>
      <w:r>
        <w:rPr>
          <w:lang w:val="es-ES"/>
        </w:rPr>
        <w:t>També s'ajusta al principi de proporcionalitat, atès que conté la regulació imprescindible per atendre les finalitats que descriu, i igualment es garanteix el principi de seguretat jurídica de les persones destinatàries, en la mesura que l'ordre és coherent amb el marc normatiu general en matèria de subvencions.</w:t>
      </w:r>
    </w:p>
    <w:p w14:paraId="5E4DFEEC" w14:textId="77777777" w:rsidR="00592E02" w:rsidRDefault="00592E02">
      <w:pPr>
        <w:rPr>
          <w:lang w:val="es-ES"/>
        </w:rPr>
      </w:pPr>
    </w:p>
    <w:p w14:paraId="71399D1E" w14:textId="77777777" w:rsidR="00592E02" w:rsidRDefault="00000000">
      <w:pPr>
        <w:rPr>
          <w:lang w:val="es-ES"/>
        </w:rPr>
      </w:pPr>
      <w:r>
        <w:rPr>
          <w:lang w:val="es-ES"/>
        </w:rPr>
        <w:t xml:space="preserve">Així mateix, compleix el principi de transparència, atès que s'han efectuat els tràmits d'audiència, consulta i informació pública preceptius i se n'ha identificat amb claredat la finalitat. </w:t>
      </w:r>
    </w:p>
    <w:p w14:paraId="4A4D6BA1" w14:textId="77777777" w:rsidR="00592E02" w:rsidRDefault="00592E02">
      <w:pPr>
        <w:rPr>
          <w:lang w:val="es-ES"/>
        </w:rPr>
      </w:pPr>
    </w:p>
    <w:p w14:paraId="1726D057" w14:textId="77777777" w:rsidR="00592E02" w:rsidRDefault="00000000">
      <w:pPr>
        <w:rPr>
          <w:lang w:val="es-ES"/>
        </w:rPr>
      </w:pPr>
      <w:r>
        <w:rPr>
          <w:lang w:val="es-ES"/>
        </w:rPr>
        <w:t>Finalment, la norma és conforme als principis d'eficiència, qualitat i simplificació, perquè no imposa càrregues administratives innecessàries i utilitza termes clars, precisos i comprensibles per al sector al qual va dirigida.</w:t>
      </w:r>
    </w:p>
    <w:p w14:paraId="47134CB5" w14:textId="77777777" w:rsidR="00592E02" w:rsidRDefault="00592E02">
      <w:pPr>
        <w:rPr>
          <w:lang w:val="es-ES"/>
        </w:rPr>
      </w:pPr>
    </w:p>
    <w:p w14:paraId="4A7290F2" w14:textId="77777777" w:rsidR="00592E02" w:rsidRDefault="00000000">
      <w:pPr>
        <w:rPr>
          <w:lang w:val="es-ES"/>
        </w:rPr>
      </w:pPr>
      <w:r>
        <w:rPr>
          <w:lang w:val="es-ES"/>
        </w:rPr>
        <w:t>Per tot això, a proposta de la Secretaria General, en ús de les facultats que m’atribueix l'article 41.</w:t>
      </w:r>
      <w:r>
        <w:rPr>
          <w:i/>
          <w:iCs/>
          <w:lang w:val="es-ES"/>
        </w:rPr>
        <w:t>c</w:t>
      </w:r>
      <w:r>
        <w:rPr>
          <w:lang w:val="es-ES"/>
        </w:rPr>
        <w:t xml:space="preserve"> de la Llei 1/2019, de 31 de gener, del Govern de les Illes Balears, en relació amb l'article 12 del text refós de la Llei de subvencions, aprovat pel Decret legislatiu 2/2005, de 28 de desembre, i de conformitat amb el </w:t>
      </w:r>
      <w:r>
        <w:rPr>
          <w:rFonts w:eastAsia="Noto Sans"/>
          <w:lang w:val="ca"/>
        </w:rPr>
        <w:t xml:space="preserve">Decret </w:t>
      </w:r>
      <w:r>
        <w:rPr>
          <w:rFonts w:eastAsia="Noto Sans"/>
          <w:lang w:val="es-ES"/>
        </w:rPr>
        <w:t>10</w:t>
      </w:r>
      <w:r>
        <w:rPr>
          <w:rFonts w:eastAsia="Noto Sans"/>
          <w:lang w:val="ca"/>
        </w:rPr>
        <w:t>/</w:t>
      </w:r>
      <w:r>
        <w:rPr>
          <w:rFonts w:eastAsia="Noto Sans"/>
          <w:lang w:val="es-ES"/>
        </w:rPr>
        <w:t>2025</w:t>
      </w:r>
      <w:r>
        <w:rPr>
          <w:rFonts w:eastAsia="Noto Sans"/>
          <w:lang w:val="ca"/>
        </w:rPr>
        <w:t xml:space="preserve">, de </w:t>
      </w:r>
      <w:r>
        <w:rPr>
          <w:rFonts w:eastAsia="Noto Sans"/>
          <w:lang w:val="es-ES"/>
        </w:rPr>
        <w:t xml:space="preserve">15 </w:t>
      </w:r>
      <w:r>
        <w:rPr>
          <w:rFonts w:eastAsia="Noto Sans"/>
          <w:lang w:val="ca"/>
        </w:rPr>
        <w:t xml:space="preserve">de </w:t>
      </w:r>
      <w:r>
        <w:rPr>
          <w:rFonts w:eastAsia="Noto Sans"/>
          <w:lang w:val="es-ES"/>
        </w:rPr>
        <w:t>juliol</w:t>
      </w:r>
      <w:r>
        <w:rPr>
          <w:rFonts w:eastAsia="Noto Sans"/>
          <w:lang w:val="ca"/>
        </w:rPr>
        <w:t xml:space="preserve">, de la presidenta de les Illes Balears, </w:t>
      </w:r>
      <w:r>
        <w:rPr>
          <w:rFonts w:eastAsia="Noto Sans"/>
          <w:lang w:val="es-ES"/>
        </w:rPr>
        <w:t xml:space="preserve">pel qual </w:t>
      </w:r>
      <w:r>
        <w:rPr>
          <w:rFonts w:eastAsia="Noto Sans"/>
          <w:lang w:val="ca"/>
        </w:rPr>
        <w:t>s'estableixen les competències i l'estructura orgànica bàsica de les conselleries de l'Administració de la Comunitat Autònoma de les Illes Balears</w:t>
      </w:r>
      <w:r>
        <w:rPr>
          <w:lang w:val="es-ES"/>
        </w:rPr>
        <w:t>, dict la següent</w:t>
      </w:r>
    </w:p>
    <w:p w14:paraId="282F81E9" w14:textId="77777777" w:rsidR="00592E02" w:rsidRDefault="00592E02">
      <w:pPr>
        <w:rPr>
          <w:b/>
          <w:bCs/>
          <w:lang w:val="es-ES"/>
        </w:rPr>
      </w:pPr>
    </w:p>
    <w:p w14:paraId="419793FF" w14:textId="77777777" w:rsidR="00592E02" w:rsidRDefault="00000000">
      <w:pPr>
        <w:jc w:val="center"/>
        <w:rPr>
          <w:b/>
          <w:bCs/>
          <w:lang w:val="es-ES"/>
        </w:rPr>
      </w:pPr>
      <w:r>
        <w:rPr>
          <w:b/>
          <w:bCs/>
          <w:lang w:val="es-ES"/>
        </w:rPr>
        <w:t>Ordre</w:t>
      </w:r>
    </w:p>
    <w:p w14:paraId="6F157AFF" w14:textId="77777777" w:rsidR="00592E02" w:rsidRDefault="00592E02">
      <w:pPr>
        <w:jc w:val="center"/>
        <w:rPr>
          <w:b/>
          <w:bCs/>
          <w:lang w:val="es-ES"/>
        </w:rPr>
      </w:pPr>
    </w:p>
    <w:p w14:paraId="261C6EEA" w14:textId="77777777" w:rsidR="00592E02" w:rsidRDefault="00000000">
      <w:pPr>
        <w:rPr>
          <w:b/>
          <w:bCs/>
          <w:lang w:val="es-ES"/>
        </w:rPr>
      </w:pPr>
      <w:r>
        <w:rPr>
          <w:b/>
          <w:bCs/>
          <w:lang w:val="es-ES"/>
        </w:rPr>
        <w:t>Article únic</w:t>
      </w:r>
    </w:p>
    <w:p w14:paraId="2BD7DE9A" w14:textId="77777777" w:rsidR="00592E02" w:rsidRDefault="00000000">
      <w:pPr>
        <w:rPr>
          <w:b/>
          <w:bCs/>
          <w:lang w:val="es-ES"/>
        </w:rPr>
      </w:pPr>
      <w:r>
        <w:rPr>
          <w:b/>
          <w:bCs/>
          <w:lang w:val="es-ES"/>
        </w:rPr>
        <w:t>Modificació de l’Ordre 7/2024 del conseller d’Agricultura, Pesca i Medi Natural, de 29 de febrer de 2024, per la qual s’estableixen les bases reguladores per a la concessió de subvencions en el marc del programa del Fons Europeu Marítim, de Pesca i d’Aqüicultura corresponent al període 2021-2027</w:t>
      </w:r>
    </w:p>
    <w:p w14:paraId="13837A63" w14:textId="77777777" w:rsidR="00592E02" w:rsidRDefault="00592E02">
      <w:pPr>
        <w:rPr>
          <w:b/>
          <w:bCs/>
          <w:lang w:val="es-ES"/>
        </w:rPr>
      </w:pPr>
    </w:p>
    <w:p w14:paraId="35FAE389" w14:textId="77777777" w:rsidR="00592E02" w:rsidRDefault="00000000">
      <w:pPr>
        <w:rPr>
          <w:lang w:val="es-ES"/>
        </w:rPr>
      </w:pPr>
      <w:r>
        <w:rPr>
          <w:lang w:val="es-ES"/>
        </w:rPr>
        <w:t>1. Es modifica l’Ordre 7/2024 del conseller d’Agricultura, Pesca i Medi Natural, de 29 de febrer de 2024, per la qual s’estableixen les bases reguladores per a la concessió de subvencions en el marc del programa del Fons Europeu Marítim, de Pesca i d’Aqüicultura corresponent al període 2021-2027, publicada al BOIB núm. 32, de 5 de març de 2024, en el sentit següent:</w:t>
      </w:r>
    </w:p>
    <w:p w14:paraId="74F7C1C1" w14:textId="77777777" w:rsidR="00592E02" w:rsidRDefault="00592E02">
      <w:pPr>
        <w:rPr>
          <w:lang w:val="es-ES"/>
        </w:rPr>
      </w:pPr>
    </w:p>
    <w:p w14:paraId="5FD0F1C9" w14:textId="77777777" w:rsidR="00592E02" w:rsidRDefault="00000000">
      <w:pPr>
        <w:rPr>
          <w:lang w:val="es-ES"/>
        </w:rPr>
      </w:pPr>
      <w:r>
        <w:rPr>
          <w:lang w:val="es-ES"/>
        </w:rPr>
        <w:lastRenderedPageBreak/>
        <w:t xml:space="preserve">1.1. L’article 4 queda redactat de la manera següent: </w:t>
      </w:r>
    </w:p>
    <w:p w14:paraId="6DD8A2C7" w14:textId="77777777" w:rsidR="00592E02" w:rsidRDefault="00592E02">
      <w:pPr>
        <w:rPr>
          <w:lang w:val="es-ES"/>
        </w:rPr>
      </w:pPr>
    </w:p>
    <w:p w14:paraId="2AE9A8AD" w14:textId="77777777" w:rsidR="00592E02" w:rsidRDefault="00000000">
      <w:pPr>
        <w:ind w:leftChars="300" w:left="660"/>
        <w:rPr>
          <w:lang w:val="es-ES"/>
        </w:rPr>
      </w:pPr>
      <w:r>
        <w:rPr>
          <w:rFonts w:ascii="Times New Roman" w:hAnsi="Times New Roman"/>
          <w:lang w:val="es-ES"/>
        </w:rPr>
        <w:t>«</w:t>
      </w:r>
      <w:r>
        <w:rPr>
          <w:lang w:val="es-ES"/>
        </w:rPr>
        <w:t>4. De conformitat amb el règim d'incompatibilitats que preveu la normativa comunitària d'aplicació, les convocatòries d'ajudes han d'establir la compatibilitat o incompatibilitat de la subvenció amb les ajudes que la persona beneficiària pugui obtenir de la mateixa Administració o d'una altra entitat pública o privada.</w:t>
      </w:r>
    </w:p>
    <w:p w14:paraId="60F8BC67" w14:textId="77777777" w:rsidR="00592E02" w:rsidRDefault="00592E02">
      <w:pPr>
        <w:ind w:leftChars="300" w:left="660"/>
        <w:rPr>
          <w:lang w:val="es-ES"/>
        </w:rPr>
      </w:pPr>
    </w:p>
    <w:p w14:paraId="4160A72A" w14:textId="77777777" w:rsidR="00592E02" w:rsidRDefault="00000000">
      <w:pPr>
        <w:ind w:leftChars="300" w:left="660"/>
        <w:rPr>
          <w:rFonts w:cs="Noto Sans"/>
          <w:lang w:val="es-ES"/>
        </w:rPr>
      </w:pPr>
      <w:r>
        <w:rPr>
          <w:lang w:val="es-ES"/>
        </w:rPr>
        <w:t>En el cas de compatibilitat de l'ajut, s'han de tenir en compte els límits que estableixen l'article 63.9 del Reglament (UE) núm. 2021/1060 del Parlament Europeu i del Consell, de 24 de juny de 2021, l’article 194 del Reglament (UE, Euratom) núm. 2024/2509 del Parlament Europeu i del Consell, de 23 de setembre de 2024, sobre les normes financeres aplicables al pressupost general de la Unió i l'article 20 del text refós de la Llei de subvencions.</w:t>
      </w:r>
      <w:r>
        <w:rPr>
          <w:rFonts w:ascii="Times New Roman" w:hAnsi="Times New Roman"/>
          <w:lang w:val="es-ES"/>
        </w:rPr>
        <w:t>»</w:t>
      </w:r>
    </w:p>
    <w:p w14:paraId="33F9D7BE" w14:textId="77777777" w:rsidR="00592E02" w:rsidRDefault="00592E02">
      <w:pPr>
        <w:rPr>
          <w:lang w:val="es-ES"/>
        </w:rPr>
      </w:pPr>
    </w:p>
    <w:p w14:paraId="12D65391" w14:textId="77777777" w:rsidR="00592E02" w:rsidRDefault="00000000">
      <w:pPr>
        <w:rPr>
          <w:lang w:val="es-ES"/>
        </w:rPr>
      </w:pPr>
      <w:r>
        <w:rPr>
          <w:lang w:val="es-ES"/>
        </w:rPr>
        <w:t>1.2. L’article 6.1 queda redactat de la manera següent:</w:t>
      </w:r>
    </w:p>
    <w:p w14:paraId="4350965A" w14:textId="77777777" w:rsidR="00592E02" w:rsidRDefault="00592E02">
      <w:pPr>
        <w:rPr>
          <w:lang w:val="es-ES"/>
        </w:rPr>
      </w:pPr>
    </w:p>
    <w:p w14:paraId="05A4C8C6" w14:textId="77777777" w:rsidR="00592E02" w:rsidRDefault="00000000">
      <w:pPr>
        <w:ind w:leftChars="300" w:left="660"/>
        <w:rPr>
          <w:lang w:val="es-ES"/>
        </w:rPr>
      </w:pPr>
      <w:r>
        <w:rPr>
          <w:rFonts w:ascii="Times New Roman" w:hAnsi="Times New Roman"/>
          <w:lang w:val="es-ES"/>
        </w:rPr>
        <w:t>«</w:t>
      </w:r>
      <w:r>
        <w:rPr>
          <w:lang w:val="es-ES"/>
        </w:rPr>
        <w:t>1. Són subvencionables les despeses que es prevegin a les convocatòries corresponents, sempre que siguin admissibles d'acord amb el Programa per a Espanya 2021-2027 del Fons Europeu Marítim i de Pesca i compleixin les condicions que estableixen aquest programa, el Reglament (UE) núm. 2021/1139, del Parlament Europeu i del Consell, de 7 de juliol de 2021, el Reglament (UE) núm. 2021/1060 del Parlament Europeu i del Consell, de 24 de juny de 2021, i la resta de normativa estatal i comunitària d'aplicació.</w:t>
      </w:r>
    </w:p>
    <w:p w14:paraId="1DB711BF" w14:textId="77777777" w:rsidR="00592E02" w:rsidRDefault="00592E02">
      <w:pPr>
        <w:ind w:leftChars="300" w:left="660"/>
        <w:rPr>
          <w:lang w:val="es-ES"/>
        </w:rPr>
      </w:pPr>
    </w:p>
    <w:p w14:paraId="1330A09C" w14:textId="77777777" w:rsidR="00592E02" w:rsidRDefault="00000000">
      <w:pPr>
        <w:ind w:leftChars="300" w:left="660"/>
        <w:rPr>
          <w:lang w:val="es-ES"/>
        </w:rPr>
      </w:pPr>
      <w:r>
        <w:rPr>
          <w:lang w:val="es-ES"/>
        </w:rPr>
        <w:t>Pel que fa a la subvencionalitat de l’IVA, d’acord amb el que estableix l’article 64.1.c) de l’esmentat Reglament (UE) núm. 2021/1060, serà subvencionable:</w:t>
      </w:r>
    </w:p>
    <w:p w14:paraId="4B8E3A71" w14:textId="77777777" w:rsidR="00592E02" w:rsidRDefault="00592E02">
      <w:pPr>
        <w:ind w:leftChars="300" w:left="660"/>
        <w:rPr>
          <w:lang w:val="es-ES"/>
        </w:rPr>
      </w:pPr>
    </w:p>
    <w:p w14:paraId="2A64DC9D" w14:textId="77777777" w:rsidR="00592E02" w:rsidRDefault="00000000">
      <w:pPr>
        <w:ind w:leftChars="300" w:left="660"/>
        <w:rPr>
          <w:lang w:val="es-ES"/>
        </w:rPr>
      </w:pPr>
      <w:r>
        <w:rPr>
          <w:lang w:val="es-ES"/>
        </w:rPr>
        <w:t>i) per a les operacions el cost total de les quals sigui inferior a 5.000.000,00 € (IVA inclòs), i</w:t>
      </w:r>
    </w:p>
    <w:p w14:paraId="7A704B86" w14:textId="77777777" w:rsidR="00592E02" w:rsidRDefault="00000000">
      <w:pPr>
        <w:ind w:leftChars="300" w:left="660"/>
        <w:rPr>
          <w:lang w:val="es-ES"/>
        </w:rPr>
      </w:pPr>
      <w:r>
        <w:rPr>
          <w:lang w:val="es-ES"/>
        </w:rPr>
        <w:t>ii) per a les operacions el cost total de les quals sigui d'almenys 5.000.000,00 € (IVA inclòs) quan aquest no sigui recuperable conformement a la legislació nacional sobre l'IVA.</w:t>
      </w:r>
      <w:r>
        <w:rPr>
          <w:rFonts w:ascii="Times New Roman" w:hAnsi="Times New Roman"/>
          <w:lang w:val="es-ES"/>
        </w:rPr>
        <w:t>»</w:t>
      </w:r>
    </w:p>
    <w:p w14:paraId="410E4160" w14:textId="77777777" w:rsidR="00592E02" w:rsidRDefault="00592E02">
      <w:pPr>
        <w:rPr>
          <w:lang w:val="es-ES"/>
        </w:rPr>
      </w:pPr>
    </w:p>
    <w:p w14:paraId="5AEED6B7" w14:textId="77777777" w:rsidR="00592E02" w:rsidRDefault="00000000">
      <w:pPr>
        <w:rPr>
          <w:lang w:val="es-ES"/>
        </w:rPr>
      </w:pPr>
      <w:r>
        <w:rPr>
          <w:lang w:val="es-ES"/>
        </w:rPr>
        <w:t>1.3. L’article 6.4 queda redactat de la manera següent:</w:t>
      </w:r>
    </w:p>
    <w:p w14:paraId="17B01854" w14:textId="77777777" w:rsidR="00592E02" w:rsidRDefault="00592E02">
      <w:pPr>
        <w:ind w:leftChars="300" w:left="660"/>
        <w:rPr>
          <w:lang w:val="es-ES"/>
        </w:rPr>
      </w:pPr>
    </w:p>
    <w:p w14:paraId="59A20CEE" w14:textId="77777777" w:rsidR="00592E02" w:rsidRDefault="00000000">
      <w:pPr>
        <w:ind w:leftChars="300" w:left="660"/>
        <w:rPr>
          <w:lang w:val="es-ES"/>
        </w:rPr>
      </w:pPr>
      <w:r>
        <w:rPr>
          <w:rFonts w:ascii="Times New Roman" w:hAnsi="Times New Roman"/>
          <w:lang w:val="es-ES"/>
        </w:rPr>
        <w:t>«</w:t>
      </w:r>
      <w:r>
        <w:rPr>
          <w:lang w:val="es-ES"/>
        </w:rPr>
        <w:t>4. Les despeses financeres, d'assessoria jurídica o financera, despeses notarials i registrals, les despeses pericials per a la realització d'un projecte subvencionable i les despeses d'administració específiques són subvencionables si estan directament relacionades amb l'activitat subvencionable i són indispensables per a la seva preparació o execució adequada, sempre que es prevegin a la convocatòria i no estiguin prohibits per la normativa europea.</w:t>
      </w:r>
    </w:p>
    <w:p w14:paraId="38D6EC11" w14:textId="77777777" w:rsidR="00592E02" w:rsidRDefault="00592E02">
      <w:pPr>
        <w:ind w:leftChars="300" w:left="660"/>
        <w:rPr>
          <w:lang w:val="es-ES"/>
        </w:rPr>
      </w:pPr>
    </w:p>
    <w:p w14:paraId="282B0758" w14:textId="77777777" w:rsidR="00592E02" w:rsidRDefault="00000000">
      <w:pPr>
        <w:ind w:leftChars="300" w:left="660"/>
        <w:rPr>
          <w:lang w:val="es-ES"/>
        </w:rPr>
      </w:pPr>
      <w:r>
        <w:rPr>
          <w:lang w:val="es-ES"/>
        </w:rPr>
        <w:t>En cap cas no seran subvencionables:</w:t>
      </w:r>
    </w:p>
    <w:p w14:paraId="15C5732B" w14:textId="77777777" w:rsidR="00592E02" w:rsidRDefault="00592E02">
      <w:pPr>
        <w:ind w:leftChars="300" w:left="660"/>
        <w:rPr>
          <w:lang w:val="es-ES"/>
        </w:rPr>
      </w:pPr>
    </w:p>
    <w:p w14:paraId="52DFF4F0" w14:textId="77777777" w:rsidR="00592E02" w:rsidRDefault="00000000">
      <w:pPr>
        <w:ind w:leftChars="300" w:left="660"/>
        <w:rPr>
          <w:lang w:val="es-ES"/>
        </w:rPr>
      </w:pPr>
      <w:r>
        <w:rPr>
          <w:i/>
          <w:iCs/>
          <w:lang w:val="es-ES"/>
        </w:rPr>
        <w:t>a</w:t>
      </w:r>
      <w:r>
        <w:rPr>
          <w:lang w:val="es-ES"/>
        </w:rPr>
        <w:t xml:space="preserve">. Els interessos deutors dels comptes bancaris. </w:t>
      </w:r>
    </w:p>
    <w:p w14:paraId="74C47D7E" w14:textId="77777777" w:rsidR="00592E02" w:rsidRDefault="00000000">
      <w:pPr>
        <w:ind w:leftChars="300" w:left="660"/>
        <w:rPr>
          <w:lang w:val="es-ES"/>
        </w:rPr>
      </w:pPr>
      <w:r>
        <w:rPr>
          <w:i/>
          <w:iCs/>
          <w:lang w:val="es-ES"/>
        </w:rPr>
        <w:t>b</w:t>
      </w:r>
      <w:r>
        <w:rPr>
          <w:lang w:val="es-ES"/>
        </w:rPr>
        <w:t>. Els interessos, els recàrrecs i les sancions administratives i penals.</w:t>
      </w:r>
    </w:p>
    <w:p w14:paraId="310F309A" w14:textId="77777777" w:rsidR="00592E02" w:rsidRDefault="00000000">
      <w:pPr>
        <w:ind w:leftChars="300" w:left="660"/>
        <w:rPr>
          <w:strike/>
          <w:highlight w:val="red"/>
          <w:lang w:val="es-ES"/>
        </w:rPr>
      </w:pPr>
      <w:r>
        <w:rPr>
          <w:i/>
          <w:iCs/>
          <w:lang w:val="es-ES"/>
        </w:rPr>
        <w:t>c</w:t>
      </w:r>
      <w:r>
        <w:rPr>
          <w:lang w:val="es-ES"/>
        </w:rPr>
        <w:t>. Les despeses del procediment judicial.</w:t>
      </w:r>
      <w:r>
        <w:rPr>
          <w:rFonts w:ascii="Times New Roman" w:hAnsi="Times New Roman"/>
          <w:lang w:val="es-ES"/>
        </w:rPr>
        <w:t>»</w:t>
      </w:r>
    </w:p>
    <w:p w14:paraId="2EC85817" w14:textId="77777777" w:rsidR="00592E02" w:rsidRDefault="00592E02">
      <w:pPr>
        <w:rPr>
          <w:lang w:val="es-ES"/>
        </w:rPr>
      </w:pPr>
    </w:p>
    <w:p w14:paraId="56E84385" w14:textId="77777777" w:rsidR="00592E02" w:rsidRDefault="00000000">
      <w:pPr>
        <w:rPr>
          <w:lang w:val="es-ES"/>
        </w:rPr>
      </w:pPr>
      <w:r>
        <w:rPr>
          <w:lang w:val="es-ES"/>
        </w:rPr>
        <w:t>1.4. L’article 13.8 queda redactat de la manera següent:</w:t>
      </w:r>
    </w:p>
    <w:p w14:paraId="27732500" w14:textId="77777777" w:rsidR="00592E02" w:rsidRDefault="00592E02">
      <w:pPr>
        <w:rPr>
          <w:lang w:val="es-ES"/>
        </w:rPr>
      </w:pPr>
    </w:p>
    <w:p w14:paraId="075F491F" w14:textId="77777777" w:rsidR="00592E02" w:rsidRDefault="00000000">
      <w:pPr>
        <w:ind w:leftChars="300" w:left="660"/>
        <w:rPr>
          <w:lang w:val="es-ES"/>
        </w:rPr>
      </w:pPr>
      <w:r>
        <w:rPr>
          <w:rFonts w:ascii="Times New Roman" w:hAnsi="Times New Roman"/>
          <w:lang w:val="es-ES"/>
        </w:rPr>
        <w:t>«</w:t>
      </w:r>
      <w:r>
        <w:rPr>
          <w:lang w:val="es-ES"/>
        </w:rPr>
        <w:t>8. La resolució dels expedients, que dictarà l’organisme intermedi de gestió, ha d'estar motivada i contenir, com a mínim, les dades següents: identificació de la persona beneficiària, descripció de l'activitat que s'ha de subvencionar, pressupost total de l'activitat subvencionada, import de la subvenció concedida i percentatge de finançament de les diferents administracions públiques, obligacions de la persona beneficiària, garanties que ofereix la persona beneficiària o exempció d'aquestes garanties, forma de pagament i forma de justificació de l'aplicació dels fons percebuts. Contra aquesta resolució es pot interposar un recurs d'alçada davant el titular de la conselleria competent en matèria de pesca.</w:t>
      </w:r>
      <w:r>
        <w:rPr>
          <w:rFonts w:ascii="Times New Roman" w:hAnsi="Times New Roman"/>
          <w:lang w:val="es-ES"/>
        </w:rPr>
        <w:t>»</w:t>
      </w:r>
    </w:p>
    <w:p w14:paraId="6D84CEC0" w14:textId="77777777" w:rsidR="00592E02" w:rsidRDefault="00592E02">
      <w:pPr>
        <w:rPr>
          <w:lang w:val="es-ES"/>
        </w:rPr>
      </w:pPr>
    </w:p>
    <w:p w14:paraId="1AFC8733" w14:textId="77777777" w:rsidR="00592E02" w:rsidRDefault="00000000">
      <w:pPr>
        <w:rPr>
          <w:lang w:val="es-ES"/>
        </w:rPr>
      </w:pPr>
      <w:r>
        <w:rPr>
          <w:lang w:val="es-ES"/>
        </w:rPr>
        <w:t>1.5. L’article 17.</w:t>
      </w:r>
      <w:r>
        <w:rPr>
          <w:i/>
          <w:iCs/>
          <w:lang w:val="es-ES"/>
        </w:rPr>
        <w:t>c</w:t>
      </w:r>
      <w:r>
        <w:rPr>
          <w:lang w:val="es-ES"/>
        </w:rPr>
        <w:t xml:space="preserve"> queda redactat de la manera següent:</w:t>
      </w:r>
    </w:p>
    <w:p w14:paraId="64DB7549" w14:textId="77777777" w:rsidR="00592E02" w:rsidRDefault="00592E02">
      <w:pPr>
        <w:ind w:leftChars="300" w:left="660"/>
        <w:rPr>
          <w:lang w:val="es-ES"/>
        </w:rPr>
      </w:pPr>
    </w:p>
    <w:p w14:paraId="522F4F7B" w14:textId="77777777" w:rsidR="00592E02" w:rsidRDefault="00000000">
      <w:pPr>
        <w:ind w:leftChars="300" w:left="660"/>
        <w:rPr>
          <w:lang w:val="es-ES"/>
        </w:rPr>
      </w:pPr>
      <w:r>
        <w:rPr>
          <w:rFonts w:ascii="Times New Roman" w:hAnsi="Times New Roman"/>
          <w:lang w:val="es-ES"/>
        </w:rPr>
        <w:t>«</w:t>
      </w:r>
      <w:r>
        <w:rPr>
          <w:i/>
          <w:iCs/>
          <w:lang w:val="es-ES"/>
        </w:rPr>
        <w:t>c</w:t>
      </w:r>
      <w:r>
        <w:rPr>
          <w:lang w:val="es-ES"/>
        </w:rPr>
        <w:t>. Mantenir la durabilitat de les inversions durant un període de cinc anys a comptar des del pagament final de l'ajuda. En el cas de les pimes, el període de manteniment d’inversions o de creació de llocs de treball creats per aquestes és de tres anys, en els termes que preveu l'article 65 del Reglament (UE) núm. 2021/1060, del Parlament Europeu i del Consell, de 24 de juny de 2021.</w:t>
      </w:r>
      <w:r>
        <w:rPr>
          <w:rFonts w:ascii="Times New Roman" w:hAnsi="Times New Roman"/>
          <w:lang w:val="es-ES"/>
        </w:rPr>
        <w:t>»</w:t>
      </w:r>
    </w:p>
    <w:p w14:paraId="7C08F2FA" w14:textId="77777777" w:rsidR="00592E02" w:rsidRDefault="00592E02">
      <w:pPr>
        <w:rPr>
          <w:strike/>
          <w:lang w:val="es-ES"/>
        </w:rPr>
      </w:pPr>
    </w:p>
    <w:p w14:paraId="7E5E6417" w14:textId="77777777" w:rsidR="00592E02" w:rsidRDefault="00000000">
      <w:pPr>
        <w:rPr>
          <w:lang w:val="es-ES"/>
        </w:rPr>
      </w:pPr>
      <w:r>
        <w:rPr>
          <w:lang w:val="es-ES"/>
        </w:rPr>
        <w:t>1.6. L’article 17.</w:t>
      </w:r>
      <w:r>
        <w:rPr>
          <w:i/>
          <w:iCs/>
          <w:lang w:val="es-ES"/>
        </w:rPr>
        <w:t>h</w:t>
      </w:r>
      <w:r>
        <w:rPr>
          <w:lang w:val="es-ES"/>
        </w:rPr>
        <w:t xml:space="preserve"> queda redactat de la manera següent:</w:t>
      </w:r>
    </w:p>
    <w:p w14:paraId="0632CF8E" w14:textId="77777777" w:rsidR="00592E02" w:rsidRDefault="00592E02">
      <w:pPr>
        <w:rPr>
          <w:lang w:val="es-ES"/>
        </w:rPr>
      </w:pPr>
    </w:p>
    <w:p w14:paraId="66511E2D" w14:textId="77777777" w:rsidR="00592E02" w:rsidRDefault="00000000">
      <w:pPr>
        <w:ind w:leftChars="300" w:left="660"/>
        <w:rPr>
          <w:lang w:val="es-ES"/>
        </w:rPr>
      </w:pPr>
      <w:r>
        <w:rPr>
          <w:rFonts w:ascii="Times New Roman" w:hAnsi="Times New Roman"/>
          <w:lang w:val="es-ES"/>
        </w:rPr>
        <w:t>«</w:t>
      </w:r>
      <w:r>
        <w:rPr>
          <w:i/>
          <w:iCs/>
          <w:lang w:val="es-ES"/>
        </w:rPr>
        <w:t>h</w:t>
      </w:r>
      <w:r>
        <w:rPr>
          <w:lang w:val="es-ES"/>
        </w:rPr>
        <w:t>. Adoptar les mesures de difusió que estableixi la convocatòria i, en particular, les que prescriuen els articles 47, 50 i l’annex IX del Reglament (UE) núm. 2021/1060 del Parlament Europeu i del Consell, de 24 de juny de 2021, i l’article 60 del Reglament (UE) núm. 2021/1139 del Parlament Europeu i del Consell, de 7 de juliol de 2021.</w:t>
      </w:r>
      <w:r>
        <w:rPr>
          <w:rFonts w:ascii="Times New Roman" w:hAnsi="Times New Roman"/>
          <w:lang w:val="es-ES"/>
        </w:rPr>
        <w:t>»</w:t>
      </w:r>
      <w:r>
        <w:rPr>
          <w:lang w:val="es-ES"/>
        </w:rPr>
        <w:t xml:space="preserve"> </w:t>
      </w:r>
    </w:p>
    <w:p w14:paraId="50FF88E7" w14:textId="77777777" w:rsidR="00592E02" w:rsidRDefault="00592E02">
      <w:pPr>
        <w:rPr>
          <w:lang w:val="es-ES"/>
        </w:rPr>
      </w:pPr>
    </w:p>
    <w:p w14:paraId="7633D69D" w14:textId="77777777" w:rsidR="00592E02" w:rsidRDefault="00000000">
      <w:pPr>
        <w:rPr>
          <w:lang w:val="es-ES"/>
        </w:rPr>
      </w:pPr>
      <w:r>
        <w:rPr>
          <w:lang w:val="es-ES"/>
        </w:rPr>
        <w:t>2. Es corregeix l’error que s’ha detectat a l’article 3 de l’Ordre 7/2024 del conseller d’Agricultura, Pesca i Medi Natural, de 29 de febrer de 2024, per la qual s’estableixen les bases reguladores per a la concessió de subvencions en el marc del programa del Fons Europeu Marítim, de Pesca i d’Aqüicultura corresponent al període 2021-2027, publicada al BOIB núm. 32, de 5 de març de 2024, en el sentit següent:</w:t>
      </w:r>
    </w:p>
    <w:p w14:paraId="3DBD36ED" w14:textId="77777777" w:rsidR="00592E02" w:rsidRDefault="00592E02">
      <w:pPr>
        <w:rPr>
          <w:lang w:val="es-ES"/>
        </w:rPr>
      </w:pPr>
    </w:p>
    <w:p w14:paraId="1EF0FF89" w14:textId="77777777" w:rsidR="00592E02" w:rsidRDefault="00000000">
      <w:pPr>
        <w:rPr>
          <w:b/>
          <w:lang w:val="es-ES"/>
        </w:rPr>
      </w:pPr>
      <w:r>
        <w:rPr>
          <w:b/>
          <w:lang w:val="es-ES"/>
        </w:rPr>
        <w:t>On diu:</w:t>
      </w:r>
    </w:p>
    <w:p w14:paraId="1E87F1A7" w14:textId="77777777" w:rsidR="00592E02" w:rsidRDefault="00592E02">
      <w:pPr>
        <w:rPr>
          <w:lang w:val="es-ES"/>
        </w:rPr>
      </w:pPr>
    </w:p>
    <w:p w14:paraId="604E6710" w14:textId="77777777" w:rsidR="00592E02" w:rsidRDefault="00000000">
      <w:pPr>
        <w:ind w:leftChars="300" w:left="660"/>
        <w:rPr>
          <w:b/>
          <w:bCs/>
          <w:lang w:val="es-ES"/>
        </w:rPr>
      </w:pPr>
      <w:r>
        <w:rPr>
          <w:rFonts w:ascii="Times New Roman" w:hAnsi="Times New Roman"/>
          <w:lang w:val="es-ES"/>
        </w:rPr>
        <w:t>«</w:t>
      </w:r>
      <w:r>
        <w:rPr>
          <w:b/>
          <w:bCs/>
          <w:lang w:val="es-ES"/>
        </w:rPr>
        <w:t xml:space="preserve">Article 3 </w:t>
      </w:r>
    </w:p>
    <w:p w14:paraId="3AD4B105" w14:textId="77777777" w:rsidR="00592E02" w:rsidRDefault="00000000">
      <w:pPr>
        <w:ind w:leftChars="300" w:left="660"/>
        <w:rPr>
          <w:b/>
          <w:bCs/>
          <w:lang w:val="es-ES"/>
        </w:rPr>
      </w:pPr>
      <w:r>
        <w:rPr>
          <w:b/>
          <w:bCs/>
          <w:lang w:val="es-ES"/>
        </w:rPr>
        <w:t>Procedència dels fons de finançament</w:t>
      </w:r>
    </w:p>
    <w:p w14:paraId="0C97EF5A" w14:textId="77777777" w:rsidR="00592E02" w:rsidRDefault="00592E02">
      <w:pPr>
        <w:ind w:leftChars="300" w:left="660"/>
        <w:rPr>
          <w:b/>
          <w:bCs/>
          <w:lang w:val="es-ES"/>
        </w:rPr>
      </w:pPr>
    </w:p>
    <w:p w14:paraId="3BC5FDB4" w14:textId="77777777" w:rsidR="00592E02" w:rsidRDefault="00000000">
      <w:pPr>
        <w:ind w:leftChars="300" w:left="660"/>
        <w:rPr>
          <w:rFonts w:ascii="Times New Roman" w:hAnsi="Times New Roman"/>
          <w:lang w:val="es-ES"/>
        </w:rPr>
      </w:pPr>
      <w:r>
        <w:rPr>
          <w:lang w:val="es-ES"/>
        </w:rPr>
        <w:t>Les subvencions que regula aquesta ordre les poden cofinançar el Fons Europeu Marítim i de Pesca (FEMPA), l'Administració General de l'Estat i la Comunitat Autònoma de les Illes Balears, en el percentatge que fixi la convocatòria respectiva per a cada una de les mesures, que en tot cas ha de respectar els percentatges màxims de finançament que estableix l'article 41 del Reglament (UE) 2021/1139 del Parlament Europeu i del Consell, de 7 de juliol.</w:t>
      </w:r>
      <w:r>
        <w:rPr>
          <w:rFonts w:ascii="Times New Roman" w:hAnsi="Times New Roman"/>
          <w:lang w:val="es-ES"/>
        </w:rPr>
        <w:t>»</w:t>
      </w:r>
    </w:p>
    <w:p w14:paraId="35A2AA19" w14:textId="77777777" w:rsidR="00592E02" w:rsidRDefault="00592E02">
      <w:pPr>
        <w:rPr>
          <w:b/>
          <w:lang w:val="es-ES"/>
        </w:rPr>
      </w:pPr>
    </w:p>
    <w:p w14:paraId="3C645467" w14:textId="77777777" w:rsidR="00592E02" w:rsidRDefault="00000000">
      <w:pPr>
        <w:rPr>
          <w:b/>
          <w:lang w:val="es-ES"/>
        </w:rPr>
      </w:pPr>
      <w:r>
        <w:rPr>
          <w:b/>
          <w:lang w:val="es-ES"/>
        </w:rPr>
        <w:t>Ha de dir:</w:t>
      </w:r>
    </w:p>
    <w:p w14:paraId="7006CCA8" w14:textId="77777777" w:rsidR="00592E02" w:rsidRDefault="00592E02">
      <w:pPr>
        <w:rPr>
          <w:lang w:val="es-ES"/>
        </w:rPr>
      </w:pPr>
    </w:p>
    <w:p w14:paraId="4FE62FAF" w14:textId="77777777" w:rsidR="00592E02" w:rsidRDefault="00000000">
      <w:pPr>
        <w:ind w:leftChars="300" w:left="660"/>
        <w:rPr>
          <w:b/>
          <w:bCs/>
          <w:lang w:val="es-ES"/>
        </w:rPr>
      </w:pPr>
      <w:r>
        <w:rPr>
          <w:rFonts w:ascii="Times New Roman" w:hAnsi="Times New Roman"/>
          <w:lang w:val="es-ES"/>
        </w:rPr>
        <w:t>«</w:t>
      </w:r>
      <w:r>
        <w:rPr>
          <w:b/>
          <w:bCs/>
          <w:lang w:val="es-ES"/>
        </w:rPr>
        <w:t xml:space="preserve">Article 3 </w:t>
      </w:r>
    </w:p>
    <w:p w14:paraId="4CC020B8" w14:textId="77777777" w:rsidR="00592E02" w:rsidRDefault="00000000">
      <w:pPr>
        <w:ind w:leftChars="300" w:left="660"/>
        <w:rPr>
          <w:b/>
          <w:bCs/>
          <w:lang w:val="es-ES"/>
        </w:rPr>
      </w:pPr>
      <w:r>
        <w:rPr>
          <w:b/>
          <w:bCs/>
          <w:lang w:val="es-ES"/>
        </w:rPr>
        <w:t>Procedència dels fons de finançament</w:t>
      </w:r>
    </w:p>
    <w:p w14:paraId="01B40C03" w14:textId="77777777" w:rsidR="00592E02" w:rsidRDefault="00592E02">
      <w:pPr>
        <w:ind w:leftChars="300" w:left="660"/>
        <w:rPr>
          <w:b/>
          <w:bCs/>
          <w:lang w:val="es-ES"/>
        </w:rPr>
      </w:pPr>
    </w:p>
    <w:p w14:paraId="733D8868" w14:textId="77777777" w:rsidR="00592E02" w:rsidRDefault="00000000">
      <w:pPr>
        <w:ind w:leftChars="300" w:left="660"/>
        <w:rPr>
          <w:rFonts w:ascii="Times New Roman" w:hAnsi="Times New Roman"/>
          <w:lang w:val="es-ES"/>
        </w:rPr>
      </w:pPr>
      <w:r>
        <w:rPr>
          <w:lang w:val="es-ES"/>
        </w:rPr>
        <w:lastRenderedPageBreak/>
        <w:t>Les subvencions que regula aquesta ordre les poden cofinançar el Fons Europeu Marítim i de Pesca (FEMPA), l'Administració General de l'Estat i la Comunitat Autònoma de les Illes Balears, en el percentatge que fixi la convocatòria respectiva per a cada una de les mesures, que en tot cas ha de respectar els percentatges màxims de finançament que estableix l'article 40 del Reglament (UE) núm. 2021/1139 del Parlament Europeu i del Consell, de 7 de juliol de 2021.</w:t>
      </w:r>
      <w:r>
        <w:rPr>
          <w:rFonts w:ascii="Times New Roman" w:hAnsi="Times New Roman"/>
          <w:lang w:val="es-ES"/>
        </w:rPr>
        <w:t>»</w:t>
      </w:r>
    </w:p>
    <w:p w14:paraId="1AA6FC44" w14:textId="77777777" w:rsidR="00592E02" w:rsidRDefault="00592E02">
      <w:pPr>
        <w:rPr>
          <w:b/>
          <w:bCs/>
          <w:strike/>
          <w:lang w:val="es-ES"/>
        </w:rPr>
      </w:pPr>
    </w:p>
    <w:p w14:paraId="13287846" w14:textId="77777777" w:rsidR="00592E02" w:rsidRDefault="00000000">
      <w:pPr>
        <w:rPr>
          <w:b/>
          <w:bCs/>
        </w:rPr>
      </w:pPr>
      <w:r>
        <w:rPr>
          <w:b/>
          <w:bCs/>
        </w:rPr>
        <w:t>Disposició final única</w:t>
      </w:r>
    </w:p>
    <w:p w14:paraId="129AD86B" w14:textId="77777777" w:rsidR="00592E02" w:rsidRDefault="00000000">
      <w:pPr>
        <w:rPr>
          <w:b/>
          <w:bCs/>
        </w:rPr>
      </w:pPr>
      <w:r>
        <w:rPr>
          <w:b/>
          <w:bCs/>
        </w:rPr>
        <w:t>Entrada en vigor</w:t>
      </w:r>
    </w:p>
    <w:p w14:paraId="596D432E" w14:textId="77777777" w:rsidR="00592E02" w:rsidRDefault="00592E02"/>
    <w:p w14:paraId="4FB73266" w14:textId="77777777" w:rsidR="00592E02" w:rsidRDefault="00000000">
      <w:r>
        <w:t xml:space="preserve">Aquesta </w:t>
      </w:r>
      <w:r>
        <w:rPr>
          <w:lang w:val="es-ES"/>
        </w:rPr>
        <w:t>O</w:t>
      </w:r>
      <w:r>
        <w:t>rdre entra en vigor l</w:t>
      </w:r>
      <w:r>
        <w:rPr>
          <w:lang w:val="es-ES"/>
        </w:rPr>
        <w:t>’</w:t>
      </w:r>
      <w:r>
        <w:t>endemà que s</w:t>
      </w:r>
      <w:r>
        <w:rPr>
          <w:lang w:val="es-ES"/>
        </w:rPr>
        <w:t>’</w:t>
      </w:r>
      <w:r>
        <w:t xml:space="preserve">hagi publicat al </w:t>
      </w:r>
      <w:r>
        <w:rPr>
          <w:i/>
          <w:iCs/>
        </w:rPr>
        <w:t>Butlletí Oficial de les Illes Balears</w:t>
      </w:r>
      <w:r>
        <w:t>.</w:t>
      </w:r>
    </w:p>
    <w:p w14:paraId="4215421B" w14:textId="77777777" w:rsidR="00592E02" w:rsidRDefault="00592E02"/>
    <w:p w14:paraId="4495D17C" w14:textId="77777777" w:rsidR="00592E02" w:rsidRDefault="00000000">
      <w:pPr>
        <w:rPr>
          <w:lang w:val="es-ES"/>
        </w:rPr>
      </w:pPr>
      <w:r>
        <w:rPr>
          <w:lang w:val="es-ES"/>
        </w:rPr>
        <w:t>Palma, en la data de la signatura electrònica</w:t>
      </w:r>
    </w:p>
    <w:p w14:paraId="42926D6B" w14:textId="77777777" w:rsidR="00592E02" w:rsidRDefault="00592E02">
      <w:pPr>
        <w:rPr>
          <w:lang w:val="es-ES"/>
        </w:rPr>
      </w:pPr>
    </w:p>
    <w:p w14:paraId="067C86E1" w14:textId="77777777" w:rsidR="00592E02" w:rsidRDefault="00000000">
      <w:pPr>
        <w:rPr>
          <w:b/>
          <w:bCs/>
          <w:lang w:val="es-ES"/>
        </w:rPr>
      </w:pPr>
      <w:r>
        <w:rPr>
          <w:b/>
          <w:bCs/>
          <w:lang w:val="es-ES"/>
        </w:rPr>
        <w:t>El conseller d’Agricultura, Pesca i Medi Natural</w:t>
      </w:r>
    </w:p>
    <w:p w14:paraId="724F1384" w14:textId="77777777" w:rsidR="00592E02" w:rsidRDefault="00000000">
      <w:pPr>
        <w:rPr>
          <w:lang w:val="es-ES"/>
        </w:rPr>
      </w:pPr>
      <w:r>
        <w:rPr>
          <w:b/>
          <w:bCs/>
          <w:lang w:val="es-ES"/>
        </w:rPr>
        <w:t>Joan Simonet Pons</w:t>
      </w:r>
    </w:p>
    <w:sectPr w:rsidR="00592E02">
      <w:headerReference w:type="default" r:id="rId7"/>
      <w:footerReference w:type="default" r:id="rId8"/>
      <w:headerReference w:type="first" r:id="rId9"/>
      <w:footerReference w:type="first" r:id="rId10"/>
      <w:pgSz w:w="11906" w:h="16838"/>
      <w:pgMar w:top="1516" w:right="851"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E09B" w14:textId="77777777" w:rsidR="00753359" w:rsidRDefault="00753359">
      <w:r>
        <w:separator/>
      </w:r>
    </w:p>
  </w:endnote>
  <w:endnote w:type="continuationSeparator" w:id="0">
    <w:p w14:paraId="1C3ADA4A" w14:textId="77777777" w:rsidR="00753359" w:rsidRDefault="0075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ariol Regular">
    <w:panose1 w:val="02000506040000020003"/>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4589"/>
      <w:gridCol w:w="2723"/>
    </w:tblGrid>
    <w:tr w:rsidR="00592E02" w14:paraId="4992486B" w14:textId="77777777">
      <w:trPr>
        <w:trHeight w:val="1140"/>
      </w:trPr>
      <w:tc>
        <w:tcPr>
          <w:tcW w:w="1985" w:type="dxa"/>
          <w:tcBorders>
            <w:top w:val="nil"/>
            <w:left w:val="nil"/>
            <w:bottom w:val="nil"/>
            <w:right w:val="nil"/>
          </w:tcBorders>
        </w:tcPr>
        <w:p w14:paraId="78EA3249" w14:textId="77777777" w:rsidR="00592E02" w:rsidRDefault="00000000">
          <w:pPr>
            <w:pStyle w:val="Peudepgina"/>
            <w:rPr>
              <w:rFonts w:ascii="Noto Sans" w:hAnsi="Noto Sans" w:cs="Noto Sans"/>
              <w:sz w:val="16"/>
              <w:szCs w:val="16"/>
              <w:lang w:val="ca-ES"/>
            </w:rPr>
          </w:pPr>
          <w:hyperlink r:id="rId1" w:history="1">
            <w:r>
              <w:rPr>
                <w:rStyle w:val="Hipervnculo"/>
                <w:rFonts w:ascii="Noto Sans" w:hAnsi="Noto Sans" w:cs="Noto Sans"/>
                <w:sz w:val="16"/>
                <w:szCs w:val="16"/>
              </w:rPr>
              <w:t>C/ d'Eusebi Estada, 145</w:t>
            </w:r>
          </w:hyperlink>
          <w:r>
            <w:rPr>
              <w:rFonts w:ascii="Noto Sans" w:hAnsi="Noto Sans" w:cs="Noto Sans"/>
              <w:sz w:val="16"/>
              <w:szCs w:val="16"/>
              <w:lang w:val="ca-ES"/>
            </w:rPr>
            <w:t xml:space="preserve"> </w:t>
          </w:r>
        </w:p>
        <w:p w14:paraId="4B981819" w14:textId="77777777" w:rsidR="00592E02" w:rsidRDefault="00000000">
          <w:pPr>
            <w:pStyle w:val="Peudepgina"/>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24E16168" w14:textId="77777777" w:rsidR="00592E02" w:rsidRDefault="00000000">
          <w:pPr>
            <w:pStyle w:val="Peudepgina"/>
            <w:rPr>
              <w:rFonts w:ascii="Noto Sans" w:hAnsi="Noto Sans" w:cs="Noto Sans"/>
              <w:sz w:val="16"/>
              <w:szCs w:val="16"/>
              <w:lang w:val="ca-ES"/>
            </w:rPr>
          </w:pPr>
          <w:r>
            <w:rPr>
              <w:rFonts w:ascii="Noto Sans" w:hAnsi="Noto Sans" w:cs="Noto Sans"/>
              <w:sz w:val="16"/>
              <w:szCs w:val="16"/>
              <w:lang w:val="ca-ES"/>
            </w:rPr>
            <w:t>Tel. 971 17 61 00</w:t>
          </w:r>
        </w:p>
        <w:p w14:paraId="7562A2F4" w14:textId="77777777" w:rsidR="00592E02" w:rsidRDefault="00000000">
          <w:pPr>
            <w:pStyle w:val="Peudepgina"/>
            <w:jc w:val="both"/>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6412521D" w14:textId="77777777" w:rsidR="00592E02" w:rsidRDefault="00592E02">
          <w:pPr>
            <w:pStyle w:val="Peudepgina"/>
            <w:jc w:val="center"/>
          </w:pPr>
        </w:p>
      </w:tc>
      <w:tc>
        <w:tcPr>
          <w:tcW w:w="1985" w:type="dxa"/>
          <w:tcBorders>
            <w:top w:val="nil"/>
            <w:left w:val="nil"/>
            <w:bottom w:val="nil"/>
            <w:right w:val="nil"/>
          </w:tcBorders>
          <w:vAlign w:val="bottom"/>
        </w:tcPr>
        <w:p w14:paraId="2DE51CE5" w14:textId="77777777" w:rsidR="00592E02" w:rsidRDefault="00000000">
          <w:pPr>
            <w:pStyle w:val="Nmerodepgina1"/>
          </w:pPr>
          <w:r>
            <w:fldChar w:fldCharType="begin"/>
          </w:r>
          <w:r>
            <w:instrText>PAGE   \* MERGEFORMAT</w:instrText>
          </w:r>
          <w:r>
            <w:fldChar w:fldCharType="separate"/>
          </w:r>
          <w:r>
            <w:t>2</w:t>
          </w:r>
          <w:r>
            <w:fldChar w:fldCharType="end"/>
          </w:r>
        </w:p>
      </w:tc>
    </w:tr>
  </w:tbl>
  <w:p w14:paraId="0BF118CD" w14:textId="77777777" w:rsidR="00592E02" w:rsidRDefault="00592E02">
    <w:pPr>
      <w:pStyle w:val="Piedepgina"/>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4589"/>
      <w:gridCol w:w="2723"/>
    </w:tblGrid>
    <w:tr w:rsidR="00592E02" w14:paraId="4680BF1E" w14:textId="77777777">
      <w:trPr>
        <w:trHeight w:val="1140"/>
      </w:trPr>
      <w:tc>
        <w:tcPr>
          <w:tcW w:w="1985" w:type="dxa"/>
          <w:tcBorders>
            <w:top w:val="nil"/>
            <w:left w:val="nil"/>
            <w:bottom w:val="nil"/>
            <w:right w:val="nil"/>
          </w:tcBorders>
        </w:tcPr>
        <w:p w14:paraId="182DA9E9" w14:textId="77777777" w:rsidR="00592E02" w:rsidRDefault="00000000">
          <w:pPr>
            <w:pStyle w:val="Peudepgina"/>
            <w:rPr>
              <w:rFonts w:ascii="Noto Sans" w:hAnsi="Noto Sans" w:cs="Noto Sans"/>
              <w:sz w:val="16"/>
              <w:szCs w:val="16"/>
              <w:lang w:val="ca-ES"/>
            </w:rPr>
          </w:pPr>
          <w:hyperlink r:id="rId1" w:history="1">
            <w:r>
              <w:rPr>
                <w:rStyle w:val="Hipervnculo"/>
                <w:rFonts w:ascii="Noto Sans" w:hAnsi="Noto Sans" w:cs="Noto Sans"/>
                <w:sz w:val="16"/>
                <w:szCs w:val="16"/>
              </w:rPr>
              <w:t>C/ d'Eusebi Estada, 145</w:t>
            </w:r>
          </w:hyperlink>
          <w:r>
            <w:rPr>
              <w:rFonts w:ascii="Noto Sans" w:hAnsi="Noto Sans" w:cs="Noto Sans"/>
              <w:sz w:val="16"/>
              <w:szCs w:val="16"/>
              <w:lang w:val="ca-ES"/>
            </w:rPr>
            <w:t xml:space="preserve"> </w:t>
          </w:r>
        </w:p>
        <w:p w14:paraId="2ADC1135" w14:textId="77777777" w:rsidR="00592E02" w:rsidRDefault="00000000">
          <w:pPr>
            <w:pStyle w:val="Peudepgina"/>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578CF59F" w14:textId="77777777" w:rsidR="00592E02" w:rsidRDefault="00000000">
          <w:pPr>
            <w:pStyle w:val="Peudepgina"/>
            <w:rPr>
              <w:rFonts w:ascii="Noto Sans" w:hAnsi="Noto Sans" w:cs="Noto Sans"/>
              <w:sz w:val="16"/>
              <w:szCs w:val="16"/>
              <w:lang w:val="ca-ES"/>
            </w:rPr>
          </w:pPr>
          <w:r>
            <w:rPr>
              <w:rFonts w:ascii="Noto Sans" w:hAnsi="Noto Sans" w:cs="Noto Sans"/>
              <w:sz w:val="16"/>
              <w:szCs w:val="16"/>
              <w:lang w:val="ca-ES"/>
            </w:rPr>
            <w:t>Tel. 971 17 61 00</w:t>
          </w:r>
        </w:p>
        <w:p w14:paraId="55B7A6A8" w14:textId="77777777" w:rsidR="00592E02" w:rsidRDefault="00000000">
          <w:pPr>
            <w:pStyle w:val="Peudepgina"/>
            <w:rPr>
              <w:rFonts w:ascii="Noto Sans" w:hAnsi="Noto Sans" w:cs="Noto Sans"/>
              <w:color w:val="004B99"/>
              <w:lang w:val="ca-ES"/>
            </w:rPr>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01816954" w14:textId="77777777" w:rsidR="00592E02" w:rsidRDefault="00592E02">
          <w:pPr>
            <w:pStyle w:val="Peudepgina"/>
            <w:jc w:val="center"/>
            <w:rPr>
              <w:rFonts w:ascii="Noto Sans" w:hAnsi="Noto Sans" w:cs="Noto Sans"/>
              <w:color w:val="004B99"/>
              <w:lang w:val="ca-ES"/>
            </w:rPr>
          </w:pPr>
        </w:p>
      </w:tc>
      <w:tc>
        <w:tcPr>
          <w:tcW w:w="1985" w:type="dxa"/>
          <w:tcBorders>
            <w:top w:val="nil"/>
            <w:left w:val="nil"/>
            <w:bottom w:val="nil"/>
            <w:right w:val="nil"/>
          </w:tcBorders>
        </w:tcPr>
        <w:p w14:paraId="5CB27D60" w14:textId="77777777" w:rsidR="00592E02" w:rsidRDefault="00592E02">
          <w:pPr>
            <w:pStyle w:val="Peudepgina"/>
          </w:pPr>
        </w:p>
      </w:tc>
    </w:tr>
  </w:tbl>
  <w:p w14:paraId="5430AEC6" w14:textId="77777777" w:rsidR="00592E02" w:rsidRDefault="00592E02">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B16B" w14:textId="77777777" w:rsidR="00753359" w:rsidRDefault="00753359">
      <w:r>
        <w:separator/>
      </w:r>
    </w:p>
  </w:footnote>
  <w:footnote w:type="continuationSeparator" w:id="0">
    <w:p w14:paraId="12F2FB16" w14:textId="77777777" w:rsidR="00753359" w:rsidRDefault="0075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3687" w14:textId="77777777" w:rsidR="00592E02" w:rsidRDefault="00000000">
    <w:pPr>
      <w:pStyle w:val="Encabezado"/>
    </w:pPr>
    <w:r>
      <w:rPr>
        <w:noProof/>
        <w:lang w:val="es-ES" w:eastAsia="es-ES"/>
      </w:rPr>
      <w:drawing>
        <wp:anchor distT="0" distB="0" distL="114300" distR="114300" simplePos="0" relativeHeight="251661312" behindDoc="0" locked="0" layoutInCell="1" allowOverlap="1" wp14:anchorId="6C015B36" wp14:editId="0B15142A">
          <wp:simplePos x="0" y="0"/>
          <wp:positionH relativeFrom="margin">
            <wp:posOffset>-1086485</wp:posOffset>
          </wp:positionH>
          <wp:positionV relativeFrom="paragraph">
            <wp:posOffset>-185420</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1738" w14:textId="77777777" w:rsidR="00592E02" w:rsidRDefault="00000000">
    <w:pPr>
      <w:pStyle w:val="NormalWeb"/>
    </w:pPr>
    <w:r>
      <w:rPr>
        <w:noProof/>
      </w:rPr>
      <w:drawing>
        <wp:anchor distT="0" distB="0" distL="114300" distR="114300" simplePos="0" relativeHeight="251662336" behindDoc="1" locked="0" layoutInCell="1" allowOverlap="1" wp14:anchorId="42B35850" wp14:editId="754FD2B8">
          <wp:simplePos x="0" y="0"/>
          <wp:positionH relativeFrom="column">
            <wp:posOffset>-1095375</wp:posOffset>
          </wp:positionH>
          <wp:positionV relativeFrom="paragraph">
            <wp:posOffset>285115</wp:posOffset>
          </wp:positionV>
          <wp:extent cx="2058035" cy="791845"/>
          <wp:effectExtent l="0" t="0" r="18415" b="8255"/>
          <wp:wrapNone/>
          <wp:docPr id="3"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G_256"/>
                  <pic:cNvPicPr>
                    <a:picLocks noChangeAspect="1"/>
                  </pic:cNvPicPr>
                </pic:nvPicPr>
                <pic:blipFill>
                  <a:blip r:embed="rId1"/>
                  <a:stretch>
                    <a:fillRect/>
                  </a:stretch>
                </pic:blipFill>
                <pic:spPr>
                  <a:xfrm>
                    <a:off x="0" y="0"/>
                    <a:ext cx="2058035" cy="791845"/>
                  </a:xfrm>
                  <a:prstGeom prst="rect">
                    <a:avLst/>
                  </a:prstGeom>
                  <a:noFill/>
                  <a:ln w="9525">
                    <a:noFill/>
                  </a:ln>
                </pic:spPr>
              </pic:pic>
            </a:graphicData>
          </a:graphic>
        </wp:anchor>
      </w:drawing>
    </w:r>
  </w:p>
  <w:p w14:paraId="2A4D8747" w14:textId="77777777" w:rsidR="00592E02" w:rsidRDefault="00000000">
    <w:pPr>
      <w:pStyle w:val="Encabezado"/>
      <w:spacing w:after="4640"/>
    </w:pPr>
    <w:r>
      <w:rPr>
        <w:noProof/>
      </w:rPr>
      <w:drawing>
        <wp:anchor distT="0" distB="0" distL="0" distR="0" simplePos="0" relativeHeight="251663360" behindDoc="1" locked="0" layoutInCell="0" allowOverlap="1" wp14:anchorId="1253DEFF" wp14:editId="369EA3BF">
          <wp:simplePos x="0" y="0"/>
          <wp:positionH relativeFrom="column">
            <wp:posOffset>3333115</wp:posOffset>
          </wp:positionH>
          <wp:positionV relativeFrom="paragraph">
            <wp:posOffset>-8255</wp:posOffset>
          </wp:positionV>
          <wp:extent cx="2433320" cy="510540"/>
          <wp:effectExtent l="0" t="0" r="5080" b="381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
                  <a:stretch>
                    <a:fillRect/>
                  </a:stretch>
                </pic:blipFill>
                <pic:spPr>
                  <a:xfrm>
                    <a:off x="0" y="0"/>
                    <a:ext cx="2433320" cy="510540"/>
                  </a:xfrm>
                  <a:prstGeom prst="rect">
                    <a:avLst/>
                  </a:prstGeom>
                  <a:noFill/>
                  <a:ln>
                    <a:noFill/>
                  </a:ln>
                </pic:spPr>
              </pic:pic>
            </a:graphicData>
          </a:graphic>
        </wp:anchor>
      </w:drawing>
    </w:r>
    <w:r>
      <w:rPr>
        <w:noProof/>
        <w:lang w:val="es-ES" w:eastAsia="es-ES"/>
      </w:rPr>
      <mc:AlternateContent>
        <mc:Choice Requires="wpg">
          <w:drawing>
            <wp:anchor distT="0" distB="0" distL="114300" distR="114300" simplePos="0" relativeHeight="251660288" behindDoc="0" locked="0" layoutInCell="1" allowOverlap="1" wp14:anchorId="7EFC9852" wp14:editId="3B6C7BFF">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psCustomData="http://www.wps.cn/officeDocument/2013/wpsCustomData">
          <w:pict>
            <v:group id="Agrupa 1" o:spid="_x0000_s1026" o:spt="203" style="position:absolute;left:0pt;margin-left:-106.25pt;margin-top:816.7pt;height:168.95pt;width:282.5pt;z-index:251660288;mso-width-relative:page;mso-height-relative:page;" coordsize="3587750,2145933" o:gfxdata="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JRI7+3AAAAA4BAAAP&#10;AAAAAAAAAAEAIAAAACIAAABkcnMvZG93bnJldi54bWxQSwECFAAUAAAACACHTuJASpWz2L8CAABM&#10;CQAADgAAAAAAAAABACAAAAArAQAAZHJzL2Uyb0RvYy54bWxQSwUGAAAAAAYABgBZAQAAXAYAAAAA&#10;">
              <o:lock v:ext="edit" aspectratio="f"/>
              <v:line id="Connector recte 2" o:spid="_x0000_s1026" o:spt="20" style="position:absolute;left:361950;top:0;flip:x;height:2145933;width:26427;" filled="f" stroked="t" coordsize="21600,21600" o:gfxdata="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Q&#10;Ktv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line id="Connector recte 4" o:spid="_x0000_s1026" o:spt="20" style="position:absolute;left:9525;top:341328;flip:y;height:10160;width:3578225;" filled="f" stroked="t" coordsize="21600,21600" o:gfxdata="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J8yeMQAAADiAAAADwAAAAAAAAABACAAAAAiAAAAZHJzL2Rvd25yZXYueG1sUEsBAhQAFAAAAAgA&#10;h07iQDMvBZ47AAAAOQAAABAAAAAAAAAAAQAgAAAAEwEAAGRycy9zaGFwZXhtbC54bWxQSwUGAAAA&#10;AAYABgBbAQAAvQMAAAAA&#10;">
                <v:fill on="f" focussize="0,0"/>
                <v:stroke color="#4A7EBB [3204]" joinstyle="round"/>
                <v:imagedata o:title=""/>
                <o:lock v:ext="edit" aspectratio="f"/>
              </v:line>
              <v:line id="Connector recte 4" o:spid="_x0000_s1026" o:spt="20" style="position:absolute;left:0;top:819150;flip:y;height:10571;width:3578317;" filled="f" stroked="t" coordsize="21600,21600" o:gfxdata="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YX&#10;kpX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group>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4BDDC95E" wp14:editId="1682EBED">
              <wp:simplePos x="0" y="0"/>
              <wp:positionH relativeFrom="margin">
                <wp:align>right</wp:align>
              </wp:positionH>
              <wp:positionV relativeFrom="page">
                <wp:posOffset>1386205</wp:posOffset>
              </wp:positionV>
              <wp:extent cx="4024630" cy="1835785"/>
              <wp:effectExtent l="1905" t="0" r="2540" b="0"/>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835785"/>
                      </a:xfrm>
                      <a:prstGeom prst="rect">
                        <a:avLst/>
                      </a:prstGeom>
                      <a:solidFill>
                        <a:srgbClr val="FFFFFF"/>
                      </a:solidFill>
                      <a:ln>
                        <a:noFill/>
                      </a:ln>
                    </wps:spPr>
                    <wps:txbx>
                      <w:txbxContent>
                        <w:p w14:paraId="37A18F3B" w14:textId="77777777" w:rsidR="00592E02" w:rsidRDefault="00592E02">
                          <w:pPr>
                            <w:ind w:left="2835"/>
                            <w:rPr>
                              <w:sz w:val="16"/>
                              <w:szCs w:val="16"/>
                            </w:rPr>
                          </w:pPr>
                        </w:p>
                        <w:p w14:paraId="4C00A3BF" w14:textId="77777777" w:rsidR="00592E02" w:rsidRDefault="00592E02">
                          <w:pPr>
                            <w:ind w:left="2835"/>
                            <w:rPr>
                              <w:sz w:val="16"/>
                              <w:szCs w:val="16"/>
                            </w:rPr>
                          </w:pPr>
                        </w:p>
                        <w:p w14:paraId="4F96C402" w14:textId="77777777" w:rsidR="00592E02" w:rsidRDefault="00592E02">
                          <w:pPr>
                            <w:ind w:left="2835"/>
                            <w:rPr>
                              <w:sz w:val="16"/>
                              <w:szCs w:val="16"/>
                            </w:rPr>
                          </w:pPr>
                        </w:p>
                        <w:p w14:paraId="65EA5099" w14:textId="77777777" w:rsidR="00592E02" w:rsidRDefault="00592E02">
                          <w:pPr>
                            <w:ind w:left="2835"/>
                            <w:rPr>
                              <w:sz w:val="16"/>
                              <w:szCs w:val="16"/>
                            </w:rPr>
                          </w:pPr>
                        </w:p>
                        <w:p w14:paraId="6922EF8C" w14:textId="77777777" w:rsidR="00592E02" w:rsidRDefault="00000000">
                          <w:pPr>
                            <w:ind w:left="2835"/>
                            <w:rPr>
                              <w:sz w:val="16"/>
                              <w:szCs w:val="16"/>
                              <w:lang w:val="es-ES"/>
                            </w:rPr>
                          </w:pPr>
                          <w:r>
                            <w:rPr>
                              <w:sz w:val="16"/>
                              <w:szCs w:val="16"/>
                              <w:lang w:val="es-ES"/>
                            </w:rPr>
                            <w:t>REG 5/25 - LR</w:t>
                          </w:r>
                        </w:p>
                        <w:p w14:paraId="7C4CB243" w14:textId="77777777" w:rsidR="00592E02" w:rsidRDefault="00000000">
                          <w:pPr>
                            <w:ind w:left="2835"/>
                            <w:rPr>
                              <w:sz w:val="16"/>
                              <w:szCs w:val="16"/>
                              <w:lang w:val="es-ES"/>
                            </w:rPr>
                          </w:pPr>
                          <w:r>
                            <w:rPr>
                              <w:sz w:val="16"/>
                              <w:szCs w:val="16"/>
                              <w:lang w:val="es-ES"/>
                            </w:rPr>
                            <w:t xml:space="preserve">Vers. 3ª - 15.07.2025 </w:t>
                          </w:r>
                        </w:p>
                        <w:p w14:paraId="255F9D77" w14:textId="77777777" w:rsidR="00592E02" w:rsidRDefault="00592E02">
                          <w:pPr>
                            <w:ind w:left="2835"/>
                            <w:rPr>
                              <w:sz w:val="16"/>
                              <w:szCs w:val="16"/>
                            </w:rPr>
                          </w:pPr>
                        </w:p>
                      </w:txbxContent>
                    </wps:txbx>
                    <wps:bodyPr rot="0" vert="horz" wrap="square" lIns="91440" tIns="45720" rIns="91440" bIns="45720" anchor="t" anchorCtr="0" upright="1">
                      <a:noAutofit/>
                    </wps:bodyPr>
                  </wps:wsp>
                </a:graphicData>
              </a:graphic>
            </wp:anchor>
          </w:drawing>
        </mc:Choice>
        <mc:Fallback>
          <w:pict>
            <v:shapetype w14:anchorId="4BDDC95E" id="_x0000_t202" coordsize="21600,21600" o:spt="202" path="m,l,21600r21600,l21600,xe">
              <v:stroke joinstyle="miter"/>
              <v:path gradientshapeok="t" o:connecttype="rect"/>
            </v:shapetype>
            <v:shape id="Cuadro de texto 9" o:spid="_x0000_s1026" type="#_x0000_t202" style="position:absolute;margin-left:265.7pt;margin-top:109.15pt;width:316.9pt;height:144.55pt;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Y49QEAAMsDAAAOAAAAZHJzL2Uyb0RvYy54bWysU8tu2zAQvBfoPxC817IdO3EFy0HqwEWB&#10;9AEk/QCKoiSiFJdd0pbcr++Schy3uRXVgeByydmd2dH6dugMOyj0GmzBZ5MpZ8pKqLRtCv79a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" stroked="f">
              <v:textbox>
                <w:txbxContent>
                  <w:p w14:paraId="37A18F3B" w14:textId="77777777" w:rsidR="00592E02" w:rsidRDefault="00592E02">
                    <w:pPr>
                      <w:ind w:left="2835"/>
                      <w:rPr>
                        <w:sz w:val="16"/>
                        <w:szCs w:val="16"/>
                      </w:rPr>
                    </w:pPr>
                  </w:p>
                  <w:p w14:paraId="4C00A3BF" w14:textId="77777777" w:rsidR="00592E02" w:rsidRDefault="00592E02">
                    <w:pPr>
                      <w:ind w:left="2835"/>
                      <w:rPr>
                        <w:sz w:val="16"/>
                        <w:szCs w:val="16"/>
                      </w:rPr>
                    </w:pPr>
                  </w:p>
                  <w:p w14:paraId="4F96C402" w14:textId="77777777" w:rsidR="00592E02" w:rsidRDefault="00592E02">
                    <w:pPr>
                      <w:ind w:left="2835"/>
                      <w:rPr>
                        <w:sz w:val="16"/>
                        <w:szCs w:val="16"/>
                      </w:rPr>
                    </w:pPr>
                  </w:p>
                  <w:p w14:paraId="65EA5099" w14:textId="77777777" w:rsidR="00592E02" w:rsidRDefault="00592E02">
                    <w:pPr>
                      <w:ind w:left="2835"/>
                      <w:rPr>
                        <w:sz w:val="16"/>
                        <w:szCs w:val="16"/>
                      </w:rPr>
                    </w:pPr>
                  </w:p>
                  <w:p w14:paraId="6922EF8C" w14:textId="77777777" w:rsidR="00592E02" w:rsidRDefault="00000000">
                    <w:pPr>
                      <w:ind w:left="2835"/>
                      <w:rPr>
                        <w:sz w:val="16"/>
                        <w:szCs w:val="16"/>
                        <w:lang w:val="es-ES"/>
                      </w:rPr>
                    </w:pPr>
                    <w:r>
                      <w:rPr>
                        <w:sz w:val="16"/>
                        <w:szCs w:val="16"/>
                        <w:lang w:val="es-ES"/>
                      </w:rPr>
                      <w:t>REG 5/25 - LR</w:t>
                    </w:r>
                  </w:p>
                  <w:p w14:paraId="7C4CB243" w14:textId="77777777" w:rsidR="00592E02" w:rsidRDefault="00000000">
                    <w:pPr>
                      <w:ind w:left="2835"/>
                      <w:rPr>
                        <w:sz w:val="16"/>
                        <w:szCs w:val="16"/>
                        <w:lang w:val="es-ES"/>
                      </w:rPr>
                    </w:pPr>
                    <w:r>
                      <w:rPr>
                        <w:sz w:val="16"/>
                        <w:szCs w:val="16"/>
                        <w:lang w:val="es-ES"/>
                      </w:rPr>
                      <w:t xml:space="preserve">Vers. 3ª - 15.07.2025 </w:t>
                    </w:r>
                  </w:p>
                  <w:p w14:paraId="255F9D77" w14:textId="77777777" w:rsidR="00592E02" w:rsidRDefault="00592E02">
                    <w:pPr>
                      <w:ind w:left="2835"/>
                      <w:rPr>
                        <w:sz w:val="16"/>
                        <w:szCs w:val="16"/>
                      </w:rPr>
                    </w:pP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32A"/>
    <w:rsid w:val="000156CD"/>
    <w:rsid w:val="00023205"/>
    <w:rsid w:val="000237A9"/>
    <w:rsid w:val="00031C01"/>
    <w:rsid w:val="00034A40"/>
    <w:rsid w:val="00050D54"/>
    <w:rsid w:val="00074F0B"/>
    <w:rsid w:val="000950E0"/>
    <w:rsid w:val="000A7669"/>
    <w:rsid w:val="000B1813"/>
    <w:rsid w:val="000B184C"/>
    <w:rsid w:val="000D04E3"/>
    <w:rsid w:val="000D7FC3"/>
    <w:rsid w:val="0010508B"/>
    <w:rsid w:val="00110FE4"/>
    <w:rsid w:val="00114152"/>
    <w:rsid w:val="001266B7"/>
    <w:rsid w:val="001352A3"/>
    <w:rsid w:val="00166737"/>
    <w:rsid w:val="00172A27"/>
    <w:rsid w:val="00182593"/>
    <w:rsid w:val="001B4283"/>
    <w:rsid w:val="001C76E5"/>
    <w:rsid w:val="001D2A3E"/>
    <w:rsid w:val="001D3D05"/>
    <w:rsid w:val="001E5FD1"/>
    <w:rsid w:val="0020001D"/>
    <w:rsid w:val="00222923"/>
    <w:rsid w:val="002266B1"/>
    <w:rsid w:val="002502C7"/>
    <w:rsid w:val="0025130E"/>
    <w:rsid w:val="0025741D"/>
    <w:rsid w:val="002635A5"/>
    <w:rsid w:val="00274B69"/>
    <w:rsid w:val="002C075E"/>
    <w:rsid w:val="002E219A"/>
    <w:rsid w:val="002F1FA3"/>
    <w:rsid w:val="002F3D33"/>
    <w:rsid w:val="00307F7A"/>
    <w:rsid w:val="00322246"/>
    <w:rsid w:val="00323D33"/>
    <w:rsid w:val="00331224"/>
    <w:rsid w:val="003403A6"/>
    <w:rsid w:val="003419D5"/>
    <w:rsid w:val="00344790"/>
    <w:rsid w:val="00373894"/>
    <w:rsid w:val="00384DCA"/>
    <w:rsid w:val="00392DD5"/>
    <w:rsid w:val="003C228C"/>
    <w:rsid w:val="003D785A"/>
    <w:rsid w:val="003F6178"/>
    <w:rsid w:val="003F6E57"/>
    <w:rsid w:val="00466CDE"/>
    <w:rsid w:val="00485578"/>
    <w:rsid w:val="004C6BE5"/>
    <w:rsid w:val="004D2A64"/>
    <w:rsid w:val="0050440F"/>
    <w:rsid w:val="005622F6"/>
    <w:rsid w:val="00574AA6"/>
    <w:rsid w:val="00592E02"/>
    <w:rsid w:val="005E3236"/>
    <w:rsid w:val="006013FF"/>
    <w:rsid w:val="00635971"/>
    <w:rsid w:val="00651C37"/>
    <w:rsid w:val="006776B5"/>
    <w:rsid w:val="006B4CEB"/>
    <w:rsid w:val="006C5013"/>
    <w:rsid w:val="006D4415"/>
    <w:rsid w:val="006F0D2E"/>
    <w:rsid w:val="007011B5"/>
    <w:rsid w:val="0072100A"/>
    <w:rsid w:val="007265EF"/>
    <w:rsid w:val="00750C99"/>
    <w:rsid w:val="00753359"/>
    <w:rsid w:val="007567B3"/>
    <w:rsid w:val="00760C2F"/>
    <w:rsid w:val="00762CDE"/>
    <w:rsid w:val="00772EEB"/>
    <w:rsid w:val="00774D29"/>
    <w:rsid w:val="007C0AC1"/>
    <w:rsid w:val="007D487C"/>
    <w:rsid w:val="007F6F4F"/>
    <w:rsid w:val="0081333C"/>
    <w:rsid w:val="0083573F"/>
    <w:rsid w:val="008413FC"/>
    <w:rsid w:val="00842E51"/>
    <w:rsid w:val="008442CE"/>
    <w:rsid w:val="00872B70"/>
    <w:rsid w:val="00875280"/>
    <w:rsid w:val="00895D5B"/>
    <w:rsid w:val="008A0BCD"/>
    <w:rsid w:val="008A3278"/>
    <w:rsid w:val="008A4F91"/>
    <w:rsid w:val="008A636B"/>
    <w:rsid w:val="008B7970"/>
    <w:rsid w:val="008D5C65"/>
    <w:rsid w:val="008E248C"/>
    <w:rsid w:val="008E5F14"/>
    <w:rsid w:val="008F3D44"/>
    <w:rsid w:val="009A0E69"/>
    <w:rsid w:val="009A601A"/>
    <w:rsid w:val="009D0416"/>
    <w:rsid w:val="009F36D4"/>
    <w:rsid w:val="00A148A5"/>
    <w:rsid w:val="00A24F99"/>
    <w:rsid w:val="00A26388"/>
    <w:rsid w:val="00A31C73"/>
    <w:rsid w:val="00A32066"/>
    <w:rsid w:val="00A45203"/>
    <w:rsid w:val="00A503A0"/>
    <w:rsid w:val="00A70754"/>
    <w:rsid w:val="00A90ED1"/>
    <w:rsid w:val="00A9443C"/>
    <w:rsid w:val="00A94FEA"/>
    <w:rsid w:val="00AA2E2E"/>
    <w:rsid w:val="00AF6E68"/>
    <w:rsid w:val="00B049DA"/>
    <w:rsid w:val="00B2463B"/>
    <w:rsid w:val="00B4748B"/>
    <w:rsid w:val="00B522DD"/>
    <w:rsid w:val="00B611B6"/>
    <w:rsid w:val="00B615C5"/>
    <w:rsid w:val="00B70D3B"/>
    <w:rsid w:val="00B86DE2"/>
    <w:rsid w:val="00B91E93"/>
    <w:rsid w:val="00B934F0"/>
    <w:rsid w:val="00B96B23"/>
    <w:rsid w:val="00BA5DF3"/>
    <w:rsid w:val="00BF3976"/>
    <w:rsid w:val="00C004FA"/>
    <w:rsid w:val="00C10943"/>
    <w:rsid w:val="00C168B0"/>
    <w:rsid w:val="00C24228"/>
    <w:rsid w:val="00C6481A"/>
    <w:rsid w:val="00CF5372"/>
    <w:rsid w:val="00D21F57"/>
    <w:rsid w:val="00D40806"/>
    <w:rsid w:val="00D616E9"/>
    <w:rsid w:val="00D76585"/>
    <w:rsid w:val="00D911CC"/>
    <w:rsid w:val="00DA5056"/>
    <w:rsid w:val="00DD7696"/>
    <w:rsid w:val="00DF0E12"/>
    <w:rsid w:val="00DF1C34"/>
    <w:rsid w:val="00DF2AFF"/>
    <w:rsid w:val="00DF79D5"/>
    <w:rsid w:val="00DF7C2E"/>
    <w:rsid w:val="00E16ABC"/>
    <w:rsid w:val="00E710FA"/>
    <w:rsid w:val="00E922C1"/>
    <w:rsid w:val="00EA0467"/>
    <w:rsid w:val="00EC621C"/>
    <w:rsid w:val="00EE3B34"/>
    <w:rsid w:val="00EE77C0"/>
    <w:rsid w:val="00EE7C2F"/>
    <w:rsid w:val="00EF3F93"/>
    <w:rsid w:val="00EF4E56"/>
    <w:rsid w:val="00F1333D"/>
    <w:rsid w:val="00F702BF"/>
    <w:rsid w:val="00F82EC6"/>
    <w:rsid w:val="00F8738C"/>
    <w:rsid w:val="00FE6B74"/>
    <w:rsid w:val="00FF6974"/>
    <w:rsid w:val="01D66B26"/>
    <w:rsid w:val="03C33277"/>
    <w:rsid w:val="03F20308"/>
    <w:rsid w:val="03FA7FB9"/>
    <w:rsid w:val="06144D23"/>
    <w:rsid w:val="06565574"/>
    <w:rsid w:val="06763DD1"/>
    <w:rsid w:val="069D1BD8"/>
    <w:rsid w:val="06C958D6"/>
    <w:rsid w:val="06D22892"/>
    <w:rsid w:val="081F0D32"/>
    <w:rsid w:val="08FC37A8"/>
    <w:rsid w:val="09455BF1"/>
    <w:rsid w:val="09505AB7"/>
    <w:rsid w:val="0A9272E3"/>
    <w:rsid w:val="0AF142C5"/>
    <w:rsid w:val="0D1036FE"/>
    <w:rsid w:val="0D5A0EB4"/>
    <w:rsid w:val="0DFC6D88"/>
    <w:rsid w:val="0E5A499A"/>
    <w:rsid w:val="0E967B22"/>
    <w:rsid w:val="0F871B88"/>
    <w:rsid w:val="0FC419ED"/>
    <w:rsid w:val="103551A4"/>
    <w:rsid w:val="12542977"/>
    <w:rsid w:val="12B85960"/>
    <w:rsid w:val="134B2893"/>
    <w:rsid w:val="14FB4178"/>
    <w:rsid w:val="16437993"/>
    <w:rsid w:val="170D06E0"/>
    <w:rsid w:val="18232427"/>
    <w:rsid w:val="185C1EE0"/>
    <w:rsid w:val="185C3885"/>
    <w:rsid w:val="190F3329"/>
    <w:rsid w:val="19AE3232"/>
    <w:rsid w:val="1AEC06BC"/>
    <w:rsid w:val="1B302BD7"/>
    <w:rsid w:val="1C643B14"/>
    <w:rsid w:val="1CB86463"/>
    <w:rsid w:val="1E184080"/>
    <w:rsid w:val="1F62515F"/>
    <w:rsid w:val="20053897"/>
    <w:rsid w:val="20715E87"/>
    <w:rsid w:val="20B106DC"/>
    <w:rsid w:val="21756F70"/>
    <w:rsid w:val="22F81AA8"/>
    <w:rsid w:val="239E735C"/>
    <w:rsid w:val="23D824EB"/>
    <w:rsid w:val="24117BB9"/>
    <w:rsid w:val="24ED40A4"/>
    <w:rsid w:val="257A718B"/>
    <w:rsid w:val="2595704A"/>
    <w:rsid w:val="26FC3E04"/>
    <w:rsid w:val="29502FD4"/>
    <w:rsid w:val="29544212"/>
    <w:rsid w:val="29BA4C02"/>
    <w:rsid w:val="29CB4D27"/>
    <w:rsid w:val="2BAB7407"/>
    <w:rsid w:val="2BC2085A"/>
    <w:rsid w:val="2C923B80"/>
    <w:rsid w:val="2D7711A5"/>
    <w:rsid w:val="2DDD5386"/>
    <w:rsid w:val="2DFA51E2"/>
    <w:rsid w:val="2E331558"/>
    <w:rsid w:val="2F532CB4"/>
    <w:rsid w:val="2FE931A8"/>
    <w:rsid w:val="310C0CB5"/>
    <w:rsid w:val="317561B2"/>
    <w:rsid w:val="323A13F3"/>
    <w:rsid w:val="326A59F4"/>
    <w:rsid w:val="339C35B9"/>
    <w:rsid w:val="33AD2EB0"/>
    <w:rsid w:val="34563E84"/>
    <w:rsid w:val="34CF5B88"/>
    <w:rsid w:val="352A7C13"/>
    <w:rsid w:val="3553070C"/>
    <w:rsid w:val="36075D7D"/>
    <w:rsid w:val="367E4976"/>
    <w:rsid w:val="36A940B1"/>
    <w:rsid w:val="3736054C"/>
    <w:rsid w:val="37422135"/>
    <w:rsid w:val="37BF2199"/>
    <w:rsid w:val="37EA1649"/>
    <w:rsid w:val="38FF590E"/>
    <w:rsid w:val="39E00C26"/>
    <w:rsid w:val="3AE400AD"/>
    <w:rsid w:val="3B363183"/>
    <w:rsid w:val="3B541666"/>
    <w:rsid w:val="3B584A0B"/>
    <w:rsid w:val="3C2E3547"/>
    <w:rsid w:val="3C2E6DCB"/>
    <w:rsid w:val="3D4311D4"/>
    <w:rsid w:val="3E965EAF"/>
    <w:rsid w:val="404D4C4F"/>
    <w:rsid w:val="43DE1BE3"/>
    <w:rsid w:val="451A2C24"/>
    <w:rsid w:val="479853D0"/>
    <w:rsid w:val="47F16027"/>
    <w:rsid w:val="48020C8B"/>
    <w:rsid w:val="48AD5B5B"/>
    <w:rsid w:val="49124A19"/>
    <w:rsid w:val="498F0BBB"/>
    <w:rsid w:val="499A63AE"/>
    <w:rsid w:val="4B2E1D92"/>
    <w:rsid w:val="4B400582"/>
    <w:rsid w:val="4C54286C"/>
    <w:rsid w:val="4C6642FE"/>
    <w:rsid w:val="4CC0557B"/>
    <w:rsid w:val="4E7D01EF"/>
    <w:rsid w:val="4F161B19"/>
    <w:rsid w:val="4F4D5BA9"/>
    <w:rsid w:val="515F5DA2"/>
    <w:rsid w:val="517A569D"/>
    <w:rsid w:val="546F7495"/>
    <w:rsid w:val="552072B9"/>
    <w:rsid w:val="552529F4"/>
    <w:rsid w:val="55D123D3"/>
    <w:rsid w:val="566E1159"/>
    <w:rsid w:val="56B64DD1"/>
    <w:rsid w:val="57D07ED9"/>
    <w:rsid w:val="584A5330"/>
    <w:rsid w:val="590824D3"/>
    <w:rsid w:val="59A10AFD"/>
    <w:rsid w:val="59CC15DE"/>
    <w:rsid w:val="5A516E51"/>
    <w:rsid w:val="5C77354A"/>
    <w:rsid w:val="5CEC6585"/>
    <w:rsid w:val="5D2C0268"/>
    <w:rsid w:val="5D8960C8"/>
    <w:rsid w:val="5E457637"/>
    <w:rsid w:val="5EB013F0"/>
    <w:rsid w:val="5FCB78B7"/>
    <w:rsid w:val="5FDF3334"/>
    <w:rsid w:val="60212844"/>
    <w:rsid w:val="61407419"/>
    <w:rsid w:val="620B3788"/>
    <w:rsid w:val="62893F38"/>
    <w:rsid w:val="63351E52"/>
    <w:rsid w:val="63AC20AE"/>
    <w:rsid w:val="63F4318A"/>
    <w:rsid w:val="64200011"/>
    <w:rsid w:val="64577B7E"/>
    <w:rsid w:val="65151063"/>
    <w:rsid w:val="659540A4"/>
    <w:rsid w:val="67431300"/>
    <w:rsid w:val="67AE2F25"/>
    <w:rsid w:val="67DA0CD3"/>
    <w:rsid w:val="6B845E74"/>
    <w:rsid w:val="6BE62696"/>
    <w:rsid w:val="6C061936"/>
    <w:rsid w:val="6C413C44"/>
    <w:rsid w:val="6D3B0927"/>
    <w:rsid w:val="6E6649EB"/>
    <w:rsid w:val="6E730CF8"/>
    <w:rsid w:val="6EA10310"/>
    <w:rsid w:val="6EEC4725"/>
    <w:rsid w:val="701A068E"/>
    <w:rsid w:val="719402E3"/>
    <w:rsid w:val="71F10B30"/>
    <w:rsid w:val="72077381"/>
    <w:rsid w:val="72A076FD"/>
    <w:rsid w:val="7405688C"/>
    <w:rsid w:val="74FC7E98"/>
    <w:rsid w:val="755A1DE2"/>
    <w:rsid w:val="75645AA5"/>
    <w:rsid w:val="75913D16"/>
    <w:rsid w:val="75CB0021"/>
    <w:rsid w:val="76AD6D41"/>
    <w:rsid w:val="7776200D"/>
    <w:rsid w:val="779E40CB"/>
    <w:rsid w:val="77AC6C64"/>
    <w:rsid w:val="78CE313C"/>
    <w:rsid w:val="79956784"/>
    <w:rsid w:val="79DA4CFA"/>
    <w:rsid w:val="7A8E6E2F"/>
    <w:rsid w:val="7C825446"/>
    <w:rsid w:val="7CF65E91"/>
    <w:rsid w:val="7D4663CD"/>
    <w:rsid w:val="7ECC6838"/>
    <w:rsid w:val="7FB34A9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D3BC"/>
  <w15:docId w15:val="{A94202F8-E0A3-4F2B-B701-EF1B744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Calibri" w:hAnsi="Noto Sans"/>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NormalWeb">
    <w:name w:val="Normal (Web)"/>
    <w:basedOn w:val="Normal"/>
    <w:uiPriority w:val="99"/>
    <w:semiHidden/>
    <w:unhideWhenUsed/>
    <w:qFormat/>
    <w:pPr>
      <w:spacing w:beforeAutospacing="1" w:afterAutospacing="1"/>
    </w:pPr>
    <w:rPr>
      <w:rFonts w:ascii="Times New Roman" w:eastAsia="SimSun" w:hAnsi="Times New Roman"/>
      <w:sz w:val="24"/>
      <w:szCs w:val="24"/>
      <w:lang w:val="en-US" w:eastAsia="zh-CN"/>
    </w:rPr>
  </w:style>
  <w:style w:type="paragraph" w:styleId="Piedepgina">
    <w:name w:val="footer"/>
    <w:basedOn w:val="Normal"/>
    <w:link w:val="PiedepginaCar"/>
    <w:uiPriority w:val="99"/>
    <w:unhideWhenUsed/>
    <w:qFormat/>
    <w:pPr>
      <w:tabs>
        <w:tab w:val="center" w:pos="4252"/>
        <w:tab w:val="right" w:pos="8504"/>
      </w:tabs>
    </w:pPr>
  </w:style>
  <w:style w:type="paragraph" w:styleId="Textoindependiente">
    <w:name w:val="Body Text"/>
    <w:basedOn w:val="Normal"/>
    <w:qFormat/>
    <w:pPr>
      <w:jc w:val="both"/>
    </w:pPr>
    <w:rPr>
      <w:rFonts w:ascii="Times New Roman" w:eastAsia="Times New Roman" w:hAnsi="Times New Roman"/>
      <w:kern w:val="2"/>
      <w:sz w:val="24"/>
      <w:szCs w:val="20"/>
    </w:rPr>
  </w:style>
  <w:style w:type="table" w:styleId="Tablaconcuadrcula">
    <w:name w:val="Table Grid"/>
    <w:basedOn w:val="Tab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qFormat/>
    <w:rPr>
      <w:rFonts w:ascii="Noto Sans" w:hAnsi="Noto Sans"/>
    </w:rPr>
  </w:style>
  <w:style w:type="character" w:customStyle="1" w:styleId="PiedepginaCar">
    <w:name w:val="Pie de página Car"/>
    <w:basedOn w:val="Fuentedeprrafopredeter"/>
    <w:link w:val="Piedepgina"/>
    <w:uiPriority w:val="99"/>
    <w:qFormat/>
    <w:rPr>
      <w:rFonts w:ascii="Noto Sans" w:hAnsi="Noto Sans"/>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eudepgina">
    <w:name w:val="Peu de pàgina"/>
    <w:basedOn w:val="Normal"/>
    <w:qFormat/>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paragraph" w:customStyle="1" w:styleId="Nmerodepgina1">
    <w:name w:val="Número de pàgina1"/>
    <w:basedOn w:val="Peudepgina"/>
    <w:qFormat/>
    <w:pPr>
      <w:jc w:val="right"/>
    </w:pPr>
    <w:rPr>
      <w:sz w:val="18"/>
      <w:szCs w:val="18"/>
    </w:rPr>
  </w:style>
  <w:style w:type="paragraph" w:customStyle="1" w:styleId="Standard">
    <w:name w:val="Standard"/>
    <w:unhideWhenUsed/>
    <w:qFormat/>
    <w:pPr>
      <w:suppressAutoHyphens/>
      <w:autoSpaceDN w:val="0"/>
      <w:textAlignment w:val="baseline"/>
    </w:pPr>
    <w:rPr>
      <w:rFonts w:ascii="Noto Sans" w:hAnsi="Noto Sans" w:cs="Noto Sans"/>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ib.es/govern/organigrama/planol.do?coduo=138143&amp;lang=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ib.es/govern/organigrama/planol.do?coduo=138143&amp;lang=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2155</Words>
  <Characters>11857</Characters>
  <Application>Microsoft Office Word</Application>
  <DocSecurity>0</DocSecurity>
  <Lines>98</Lines>
  <Paragraphs>27</Paragraphs>
  <ScaleCrop>false</ScaleCrop>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FOGAIBA</dc:creator>
  <cp:lastModifiedBy>Damian Bover Garcias</cp:lastModifiedBy>
  <cp:revision>3</cp:revision>
  <dcterms:created xsi:type="dcterms:W3CDTF">2025-01-09T13:51:00Z</dcterms:created>
  <dcterms:modified xsi:type="dcterms:W3CDTF">2025-07-22T06:17:00Z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E0603249A41E4FB3B43CCB0F2B2B451A_11</vt:lpwstr>
  </property>
  <property fmtid="{D5CDD505-2E9C-101B-9397-08002B2CF9AE}" pid="3" name="KSOProductBuildVer">
    <vt:lpwstr>3082-12.2.0.21931</vt:lpwstr>
  </property>
</Properties>
</file>