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65BAB">
      <w:pPr>
        <w:spacing w:before="0" w:beforeAutospacing="0"/>
        <w:jc w:val="left"/>
        <w:rPr>
          <w:rFonts w:hint="default" w:cs="Noto Sans"/>
          <w:b/>
          <w:bCs/>
          <w:lang w:val="es-ES"/>
        </w:rPr>
      </w:pPr>
      <w:r>
        <w:rPr>
          <w:rFonts w:ascii="Noto Sans" w:hAnsi="Noto Sans" w:cs="Noto Sans"/>
          <w:b/>
          <w:bCs/>
        </w:rPr>
        <w:t>Ordre de</w:t>
      </w:r>
      <w:r>
        <w:rPr>
          <w:rFonts w:hint="default" w:cs="Noto Sans"/>
          <w:b/>
          <w:bCs/>
          <w:lang w:val="es-ES"/>
        </w:rPr>
        <w:t xml:space="preserve">l </w:t>
      </w:r>
      <w:r>
        <w:rPr>
          <w:rFonts w:ascii="Noto Sans" w:hAnsi="Noto Sans" w:cs="Noto Sans"/>
          <w:b/>
          <w:bCs/>
        </w:rPr>
        <w:t xml:space="preserve">conseller d’Agricultura, Pesca i </w:t>
      </w:r>
      <w:r>
        <w:rPr>
          <w:rFonts w:hint="default" w:cs="Noto Sans"/>
          <w:b/>
          <w:bCs/>
          <w:lang w:val="es-ES"/>
        </w:rPr>
        <w:t>Medi Natural</w:t>
      </w:r>
      <w:r>
        <w:rPr>
          <w:rFonts w:ascii="Noto Sans" w:hAnsi="Noto Sans" w:cs="Noto Sans"/>
          <w:b/>
          <w:bCs/>
        </w:rPr>
        <w:t xml:space="preserve"> </w:t>
      </w:r>
      <w:r>
        <w:rPr>
          <w:rFonts w:hint="default" w:cs="Noto Sans"/>
          <w:b/>
          <w:bCs/>
          <w:lang w:val="es-ES"/>
        </w:rPr>
        <w:t>de modificació de l’</w:t>
      </w:r>
      <w:r>
        <w:rPr>
          <w:rFonts w:hint="default"/>
          <w:b/>
          <w:bCs/>
          <w:lang w:val="es-ES"/>
        </w:rPr>
        <w:t>Ordre 10/2023 de la consellera d’Agricultura, Pesca i Alimentació, de 5 d’abril de 2023, per la qual s’estableixen les bases reguladores per a la concessió de subvencions en el marc de les intervencions per al desenvolupament rural de les Illes Balears 2023-2027</w:t>
      </w:r>
    </w:p>
    <w:p w14:paraId="33DB52EA">
      <w:pPr>
        <w:rPr>
          <w:rFonts w:hint="default"/>
          <w:b/>
          <w:bCs/>
          <w:lang w:val="es-ES"/>
        </w:rPr>
      </w:pPr>
    </w:p>
    <w:p w14:paraId="02DA21F0">
      <w:pPr>
        <w:rPr>
          <w:rFonts w:hint="default"/>
          <w:b/>
          <w:bCs/>
          <w:lang w:val="es-ES"/>
        </w:rPr>
      </w:pPr>
      <w:r>
        <w:rPr>
          <w:rFonts w:hint="default"/>
          <w:b/>
          <w:bCs/>
          <w:lang w:val="es-ES"/>
        </w:rPr>
        <w:t>Preàmbul</w:t>
      </w:r>
    </w:p>
    <w:p w14:paraId="1B431C81">
      <w:pPr>
        <w:rPr>
          <w:rFonts w:hint="default"/>
          <w:b w:val="0"/>
          <w:bCs w:val="0"/>
          <w:lang w:val="es-ES"/>
        </w:rPr>
      </w:pPr>
    </w:p>
    <w:p w14:paraId="4E584430">
      <w:pPr>
        <w:numPr>
          <w:ilvl w:val="0"/>
          <w:numId w:val="1"/>
        </w:numPr>
        <w:rPr>
          <w:rFonts w:hint="default"/>
          <w:b w:val="0"/>
          <w:bCs w:val="0"/>
          <w:lang w:val="es-ES"/>
        </w:rPr>
      </w:pPr>
      <w:r>
        <w:rPr>
          <w:rFonts w:cs="Noto Sans"/>
          <w:color w:val="000000"/>
        </w:rPr>
        <w:t xml:space="preserve">El 6 d’abril del 2023 es va publicar al </w:t>
      </w:r>
      <w:r>
        <w:rPr>
          <w:rFonts w:cs="Noto Sans"/>
          <w:i/>
          <w:iCs/>
          <w:color w:val="000000"/>
        </w:rPr>
        <w:t>Butlletí Oficial de les Illes Balears</w:t>
      </w:r>
      <w:r>
        <w:rPr>
          <w:rFonts w:cs="Noto Sans"/>
          <w:color w:val="000000"/>
        </w:rPr>
        <w:t xml:space="preserve"> </w:t>
      </w:r>
      <w:r>
        <w:rPr>
          <w:rFonts w:hint="default" w:cs="Noto Sans"/>
          <w:color w:val="000000"/>
          <w:lang w:val="es-ES"/>
        </w:rPr>
        <w:t xml:space="preserve">(BOIB) </w:t>
      </w:r>
      <w:r>
        <w:rPr>
          <w:rFonts w:cs="Noto Sans"/>
          <w:color w:val="000000"/>
        </w:rPr>
        <w:t>núm. 43 l’Ordre 10/2023 de la consellera d’Agricultura, Pesca i Alimentació, de 5 d’abril de 2023, per la qual s’estableixen les bases reguladores per a la concessió de subvencions en el marc de les intervencions per al desenvolupament rural de les Illes Balears 2023-2027</w:t>
      </w:r>
      <w:r>
        <w:rPr>
          <w:rFonts w:hint="default" w:cs="Noto Sans"/>
          <w:color w:val="000000"/>
          <w:lang w:val="es-ES"/>
        </w:rPr>
        <w:t xml:space="preserve">, incloses al </w:t>
      </w:r>
      <w:r>
        <w:rPr>
          <w:rFonts w:ascii="Noto Sans" w:hAnsi="Noto Sans" w:eastAsia="Times New Roman" w:cs="Noto Sans"/>
          <w:lang w:val="ca-ES" w:eastAsia="es-ES"/>
        </w:rPr>
        <w:t xml:space="preserve">Pla estratègic de la PAC 2023-2027 d’Espanya (PEPAC) </w:t>
      </w:r>
      <w:r>
        <w:rPr>
          <w:rFonts w:hint="default" w:eastAsia="Times New Roman" w:cs="Noto Sans"/>
          <w:lang w:val="en-US" w:eastAsia="es-ES"/>
        </w:rPr>
        <w:t xml:space="preserve">que es va aprovar mitjançant </w:t>
      </w:r>
      <w:r>
        <w:rPr>
          <w:rFonts w:ascii="Noto Sans" w:hAnsi="Noto Sans" w:eastAsia="Times New Roman" w:cs="Noto Sans"/>
          <w:lang w:val="ca-ES" w:eastAsia="es-ES"/>
        </w:rPr>
        <w:t>Decisió d’Execució de la Comissió</w:t>
      </w:r>
      <w:r>
        <w:rPr>
          <w:rFonts w:hint="default" w:eastAsia="Times New Roman" w:cs="Noto Sans"/>
          <w:lang w:val="en-US" w:eastAsia="es-ES"/>
        </w:rPr>
        <w:t xml:space="preserve"> Europea</w:t>
      </w:r>
      <w:r>
        <w:rPr>
          <w:rFonts w:ascii="Noto Sans" w:hAnsi="Noto Sans" w:eastAsia="Times New Roman" w:cs="Noto Sans"/>
          <w:lang w:val="ca-ES" w:eastAsia="es-ES"/>
        </w:rPr>
        <w:t xml:space="preserve"> de 31 d’agost de 2022</w:t>
      </w:r>
      <w:r>
        <w:rPr>
          <w:rFonts w:hint="default" w:eastAsia="Times New Roman" w:cs="Noto Sans"/>
          <w:lang w:val="en-US" w:eastAsia="es-ES"/>
        </w:rPr>
        <w:t>.</w:t>
      </w:r>
    </w:p>
    <w:p w14:paraId="667D2983">
      <w:pPr>
        <w:numPr>
          <w:ilvl w:val="0"/>
          <w:numId w:val="0"/>
        </w:numPr>
        <w:spacing w:before="0" w:beforeAutospacing="0"/>
        <w:jc w:val="left"/>
        <w:rPr>
          <w:rFonts w:hint="default" w:eastAsia="Times New Roman" w:cs="Noto Sans"/>
          <w:lang w:val="en-US" w:eastAsia="es-ES"/>
        </w:rPr>
      </w:pPr>
    </w:p>
    <w:p w14:paraId="5705CBCC">
      <w:pPr>
        <w:numPr>
          <w:ilvl w:val="0"/>
          <w:numId w:val="0"/>
        </w:numPr>
        <w:rPr>
          <w:rFonts w:hint="default"/>
          <w:b w:val="0"/>
          <w:bCs w:val="0"/>
          <w:lang w:val="es-ES"/>
        </w:rPr>
      </w:pPr>
      <w:r>
        <w:rPr>
          <w:rFonts w:hint="default" w:eastAsia="Times New Roman" w:cs="Noto Sans"/>
          <w:lang w:val="en-US" w:eastAsia="es-ES"/>
        </w:rPr>
        <w:t xml:space="preserve">En l’esmentat Pla </w:t>
      </w:r>
      <w:r>
        <w:rPr>
          <w:rFonts w:ascii="Noto Sans" w:hAnsi="Noto Sans" w:eastAsia="Times New Roman" w:cs="Noto Sans"/>
          <w:lang w:val="ca-ES" w:eastAsia="es-ES"/>
        </w:rPr>
        <w:t xml:space="preserve">es recullen les intervencions per al desenvolupament rural establertes en </w:t>
      </w:r>
      <w:r>
        <w:rPr>
          <w:rFonts w:hint="default" w:eastAsia="Times New Roman" w:cs="Noto Sans"/>
          <w:lang w:val="en-US" w:eastAsia="es-ES"/>
        </w:rPr>
        <w:t>el</w:t>
      </w:r>
      <w:r>
        <w:rPr>
          <w:rFonts w:ascii="Noto Sans" w:hAnsi="Noto Sans" w:eastAsia="Times New Roman" w:cs="Noto Sans"/>
          <w:lang w:val="ca-ES" w:eastAsia="es-ES"/>
        </w:rPr>
        <w:t xml:space="preserve"> </w:t>
      </w:r>
      <w:r>
        <w:rPr>
          <w:rFonts w:hint="default"/>
          <w:b w:val="0"/>
          <w:bCs w:val="0"/>
          <w:lang w:val="es-ES"/>
        </w:rPr>
        <w:t xml:space="preserve">Reglament (UE) núm. 2021/2115 del Parlament Europeu i del Consell, de 2 de desembre de 2021, pel qual s’estableixen normes en relació amb l’ajuda als plans estratègics que han d’elaborar els Estats membres en el marc de la política agrícola comú (plans estratègics de la PAC), finançada amb càrrec al Fons Europeu Agrícola de Garantia (FEAGA) i al Fons Europeu Agrícola de Desenvolupament Rural (Feader), publicat al </w:t>
      </w:r>
      <w:r>
        <w:rPr>
          <w:rFonts w:hint="default"/>
          <w:b w:val="0"/>
          <w:bCs w:val="0"/>
          <w:i/>
          <w:iCs/>
          <w:lang w:val="es-ES"/>
        </w:rPr>
        <w:t xml:space="preserve">Diari Oficial de la Unió Europea </w:t>
      </w:r>
      <w:r>
        <w:rPr>
          <w:rFonts w:hint="default"/>
          <w:b w:val="0"/>
          <w:bCs w:val="0"/>
          <w:i w:val="0"/>
          <w:iCs w:val="0"/>
          <w:lang w:val="es-ES"/>
        </w:rPr>
        <w:t>(DOUE)</w:t>
      </w:r>
      <w:r>
        <w:rPr>
          <w:rFonts w:hint="default"/>
          <w:b w:val="0"/>
          <w:bCs w:val="0"/>
          <w:i/>
          <w:iCs/>
          <w:lang w:val="es-ES"/>
        </w:rPr>
        <w:t xml:space="preserve"> </w:t>
      </w:r>
      <w:r>
        <w:rPr>
          <w:rFonts w:hint="default"/>
          <w:b w:val="0"/>
          <w:bCs w:val="0"/>
          <w:i w:val="0"/>
          <w:iCs w:val="0"/>
          <w:lang w:val="es-ES"/>
        </w:rPr>
        <w:t>e</w:t>
      </w:r>
      <w:r>
        <w:rPr>
          <w:rFonts w:hint="default"/>
          <w:b w:val="0"/>
          <w:bCs w:val="0"/>
          <w:lang w:val="es-ES"/>
        </w:rPr>
        <w:t>n data 6 de desembre de 2021.</w:t>
      </w:r>
    </w:p>
    <w:p w14:paraId="6282F669">
      <w:pPr>
        <w:rPr>
          <w:rFonts w:hint="default"/>
          <w:b w:val="0"/>
          <w:bCs w:val="0"/>
          <w:lang w:val="es-ES"/>
        </w:rPr>
      </w:pPr>
    </w:p>
    <w:p w14:paraId="0AA9469C">
      <w:pPr>
        <w:numPr>
          <w:ilvl w:val="0"/>
          <w:numId w:val="1"/>
        </w:numPr>
        <w:ind w:left="0" w:leftChars="0" w:firstLine="0" w:firstLineChars="0"/>
        <w:rPr>
          <w:rFonts w:hint="default"/>
          <w:b w:val="0"/>
          <w:bCs w:val="0"/>
          <w:lang w:val="es-ES"/>
        </w:rPr>
      </w:pPr>
      <w:r>
        <w:rPr>
          <w:rFonts w:hint="default"/>
          <w:b w:val="0"/>
          <w:bCs w:val="0"/>
          <w:lang w:val="es-ES"/>
        </w:rPr>
        <w:t>Per garantir el correcte funcionament d’aquest marc jurídic i la seva aplicació uniforme, es va facultar a la Comissió per adoptar determinades disposicions a l'efecte de la seva execució, com és el cas del Reglament delegat (UE) 2022/126, de la Comissió, de 7 de desembre de 2021, en virtut del qual es completa el Reglament (UE) 2021/2115 del Parlament Europeu i del Consell pel que fa als requisits addicionals per a determinats tipus d'intervenció especificats pels estats membres als seus plans estratègics de la PAC per al període 2023-2027.</w:t>
      </w:r>
    </w:p>
    <w:p w14:paraId="047EB7C3">
      <w:pPr>
        <w:numPr>
          <w:ilvl w:val="0"/>
          <w:numId w:val="0"/>
        </w:numPr>
        <w:rPr>
          <w:rFonts w:hint="default"/>
          <w:b w:val="0"/>
          <w:bCs w:val="0"/>
          <w:lang w:val="es-ES"/>
        </w:rPr>
      </w:pPr>
    </w:p>
    <w:p w14:paraId="393FAFE5">
      <w:pPr>
        <w:numPr>
          <w:ilvl w:val="0"/>
          <w:numId w:val="0"/>
        </w:numPr>
        <w:rPr>
          <w:rFonts w:hint="default"/>
          <w:b w:val="0"/>
          <w:bCs w:val="0"/>
          <w:highlight w:val="none"/>
          <w:lang w:val="es-ES"/>
        </w:rPr>
      </w:pPr>
      <w:r>
        <w:rPr>
          <w:rFonts w:hint="default"/>
          <w:b w:val="0"/>
          <w:bCs w:val="0"/>
          <w:highlight w:val="none"/>
          <w:lang w:val="es-ES"/>
        </w:rPr>
        <w:t xml:space="preserve">En l’Ordre 10/2023 de 5 d’abril, es recullen diverses referències a l’articulat d’esmentat Reglament delegat </w:t>
      </w:r>
      <w:r>
        <w:rPr>
          <w:rFonts w:hint="default"/>
          <w:b w:val="0"/>
          <w:bCs w:val="0"/>
          <w:lang w:val="es-ES"/>
        </w:rPr>
        <w:t>(UE) 2022/126</w:t>
      </w:r>
      <w:r>
        <w:rPr>
          <w:rFonts w:hint="default"/>
          <w:b w:val="0"/>
          <w:bCs w:val="0"/>
          <w:highlight w:val="none"/>
          <w:lang w:val="es-ES"/>
        </w:rPr>
        <w:t>, aplicable a determinades intervencions, per la qual cosa és necessari modificar els preceptes de l’Ordre que el contemplen amb l’objecte de delimitar la seva aplicabilitat, perquè desplegui els seus efectes específicament quan correspongui segons la normativa vigent aplicable en cada cas.</w:t>
      </w:r>
    </w:p>
    <w:p w14:paraId="14C7ACBD">
      <w:pPr>
        <w:numPr>
          <w:ilvl w:val="0"/>
          <w:numId w:val="0"/>
        </w:numPr>
        <w:ind w:leftChars="0"/>
        <w:rPr>
          <w:rFonts w:hint="default" w:eastAsia="Times New Roman" w:cs="Noto Sans"/>
          <w:lang w:val="en-US" w:eastAsia="es-ES"/>
        </w:rPr>
      </w:pPr>
    </w:p>
    <w:p w14:paraId="04910CE1">
      <w:pPr>
        <w:numPr>
          <w:ilvl w:val="0"/>
          <w:numId w:val="0"/>
        </w:numPr>
        <w:ind w:leftChars="0"/>
        <w:rPr>
          <w:rFonts w:hint="default"/>
          <w:b w:val="0"/>
          <w:bCs w:val="0"/>
          <w:lang w:val="es-ES"/>
        </w:rPr>
      </w:pPr>
      <w:r>
        <w:rPr>
          <w:rFonts w:hint="default" w:eastAsia="Times New Roman" w:cs="Noto Sans"/>
          <w:lang w:val="en-US" w:eastAsia="es-ES"/>
        </w:rPr>
        <w:t xml:space="preserve">3. </w:t>
      </w:r>
      <w:r>
        <w:rPr>
          <w:rFonts w:ascii="Noto Sans" w:hAnsi="Noto Sans" w:eastAsia="Times New Roman" w:cs="Noto Sans"/>
          <w:lang w:val="ca-ES" w:eastAsia="es-ES"/>
        </w:rPr>
        <w:t>Posteriorment, amb l’objecte d</w:t>
      </w:r>
      <w:r>
        <w:rPr>
          <w:rFonts w:hint="default" w:eastAsia="Times New Roman" w:cs="Noto Sans"/>
          <w:lang w:val="en-US" w:eastAsia="es-ES"/>
        </w:rPr>
        <w:t>’</w:t>
      </w:r>
      <w:r>
        <w:rPr>
          <w:rFonts w:ascii="Noto Sans" w:hAnsi="Noto Sans" w:eastAsia="Times New Roman" w:cs="Noto Sans"/>
          <w:lang w:val="ca-ES" w:eastAsia="es-ES"/>
        </w:rPr>
        <w:t>establir normes bàsiques de coordinació per a l</w:t>
      </w:r>
      <w:r>
        <w:rPr>
          <w:rFonts w:hint="default" w:eastAsia="Times New Roman" w:cs="Noto Sans"/>
          <w:lang w:val="en-US" w:eastAsia="es-ES"/>
        </w:rPr>
        <w:t>’</w:t>
      </w:r>
      <w:r>
        <w:rPr>
          <w:rFonts w:ascii="Noto Sans" w:hAnsi="Noto Sans" w:eastAsia="Times New Roman" w:cs="Noto Sans"/>
          <w:lang w:val="ca-ES" w:eastAsia="es-ES"/>
        </w:rPr>
        <w:t xml:space="preserve">aplicació a Espanya del sistema de gestió de les ajudes de la PAC, </w:t>
      </w:r>
      <w:r>
        <w:rPr>
          <w:rFonts w:hint="default" w:eastAsia="Times New Roman" w:cs="Noto Sans"/>
          <w:lang w:val="en-US" w:eastAsia="es-ES"/>
        </w:rPr>
        <w:t>es va aprovar, entre altres normes de desplegament,</w:t>
      </w:r>
      <w:r>
        <w:rPr>
          <w:rFonts w:ascii="Noto Sans" w:hAnsi="Noto Sans" w:eastAsia="Times New Roman" w:cs="Noto Sans"/>
          <w:lang w:val="ca-ES" w:eastAsia="es-ES"/>
        </w:rPr>
        <w:t xml:space="preserve"> </w:t>
      </w:r>
      <w:r>
        <w:rPr>
          <w:rFonts w:hint="default" w:eastAsia="Times New Roman" w:cs="Noto Sans"/>
          <w:lang w:val="en-US" w:eastAsia="es-ES"/>
        </w:rPr>
        <w:t xml:space="preserve">la </w:t>
      </w:r>
      <w:r>
        <w:rPr>
          <w:rFonts w:hint="default" w:ascii="Noto Sans" w:hAnsi="Noto Sans" w:eastAsia="Times New Roman"/>
          <w:lang w:val="ca-ES" w:eastAsia="es-ES"/>
        </w:rPr>
        <w:t>Llei 30/2022, de 23 de desembre, per la qual es regulen el sistema de gestió de la Política Agrícola Comuna i altres matèries connexes</w:t>
      </w:r>
      <w:r>
        <w:rPr>
          <w:rFonts w:hint="default" w:eastAsia="Times New Roman"/>
          <w:lang w:val="en-US" w:eastAsia="es-ES"/>
        </w:rPr>
        <w:t xml:space="preserve">, publicada al </w:t>
      </w:r>
      <w:r>
        <w:rPr>
          <w:rFonts w:hint="default" w:eastAsia="Times New Roman"/>
          <w:i/>
          <w:iCs/>
          <w:lang w:val="en-US" w:eastAsia="es-ES"/>
        </w:rPr>
        <w:t>Boletín Oficial del Estado</w:t>
      </w:r>
      <w:r>
        <w:rPr>
          <w:rFonts w:hint="default" w:eastAsia="Times New Roman"/>
          <w:lang w:val="en-US" w:eastAsia="es-ES"/>
        </w:rPr>
        <w:t xml:space="preserve"> (BOE) núm. 308, de 24 de desembre de 2022.</w:t>
      </w:r>
    </w:p>
    <w:p w14:paraId="25D0C774">
      <w:pPr>
        <w:numPr>
          <w:ilvl w:val="0"/>
          <w:numId w:val="0"/>
        </w:numPr>
        <w:ind w:leftChars="0"/>
        <w:rPr>
          <w:rFonts w:hint="default" w:eastAsia="Times New Roman"/>
          <w:lang w:val="en-US" w:eastAsia="es-ES"/>
        </w:rPr>
      </w:pPr>
    </w:p>
    <w:p w14:paraId="40179CD2">
      <w:pPr>
        <w:numPr>
          <w:ilvl w:val="0"/>
          <w:numId w:val="0"/>
        </w:numPr>
        <w:ind w:leftChars="0"/>
        <w:rPr>
          <w:rFonts w:hint="default"/>
          <w:b w:val="0"/>
          <w:bCs w:val="0"/>
          <w:lang w:val="es-ES"/>
        </w:rPr>
      </w:pPr>
      <w:r>
        <w:rPr>
          <w:rFonts w:hint="default" w:eastAsia="Times New Roman"/>
          <w:lang w:val="en-US" w:eastAsia="es-ES"/>
        </w:rPr>
        <w:t xml:space="preserve">En aquesta normativa estatal, amb la finalitat d’avançar en el procés de digitalització del sector agrari i ramader, es fomenta que les relacions de l’Administració amb les persones físiques interessades en el procediment es realitzin de manera íntegra per mitjans electrònics, atès que es tracta d’un sector en constant procés de digitalització i </w:t>
      </w:r>
      <w:r>
        <w:rPr>
          <w:rFonts w:hint="default"/>
          <w:b w:val="0"/>
          <w:bCs w:val="0"/>
          <w:lang w:val="es-ES"/>
        </w:rPr>
        <w:t xml:space="preserve">sotmès a importants obligacions electròniques, en atenció a les seves capacitats d’accés i disponibilitat de mitjans electrònics. </w:t>
      </w:r>
    </w:p>
    <w:p w14:paraId="305AC0AE">
      <w:pPr>
        <w:numPr>
          <w:ilvl w:val="0"/>
          <w:numId w:val="0"/>
        </w:numPr>
        <w:ind w:leftChars="0"/>
        <w:rPr>
          <w:rFonts w:hint="default"/>
          <w:b w:val="0"/>
          <w:bCs w:val="0"/>
          <w:lang w:val="es-ES"/>
        </w:rPr>
      </w:pPr>
    </w:p>
    <w:p w14:paraId="16AA75F2">
      <w:pPr>
        <w:rPr>
          <w:rFonts w:hint="default"/>
          <w:b w:val="0"/>
          <w:bCs w:val="0"/>
          <w:lang w:val="es-ES"/>
        </w:rPr>
      </w:pPr>
      <w:r>
        <w:rPr>
          <w:rFonts w:hint="default"/>
          <w:lang w:val="es-ES"/>
        </w:rPr>
        <w:t xml:space="preserve">Així mateix, sota els principis d’eficàcia i d’eficiència que han de regir el procediment administratiu, la regulació en matèria administrativa és cada vegada més tendent a eliminar traves burocràtiques i simplificar les relacions administratives, en les quals els mitjans electrònics s’erigeixen en el canal de </w:t>
      </w:r>
      <w:r>
        <w:rPr>
          <w:rFonts w:hint="default"/>
          <w:b w:val="0"/>
          <w:bCs w:val="0"/>
          <w:lang w:val="es-ES"/>
        </w:rPr>
        <w:t xml:space="preserve">transmissió d'informació i comunicació preferent de les persones interessades. D’aquesta manera, la pràctica electrònica de la notificació a l’interessat representa una de les eines fonamentals de la nova Administració electrònica en les seves relacions amb els administrats. </w:t>
      </w:r>
    </w:p>
    <w:p w14:paraId="1702B342">
      <w:pPr>
        <w:rPr>
          <w:rFonts w:hint="default"/>
          <w:b w:val="0"/>
          <w:bCs w:val="0"/>
          <w:lang w:val="es-ES"/>
        </w:rPr>
      </w:pPr>
    </w:p>
    <w:p w14:paraId="41C4A4D7">
      <w:pPr>
        <w:rPr>
          <w:rFonts w:hint="default" w:cs="Noto Sans"/>
          <w:sz w:val="22"/>
          <w:szCs w:val="22"/>
          <w:highlight w:val="none"/>
          <w:lang w:val="es-ES"/>
        </w:rPr>
      </w:pPr>
      <w:r>
        <w:rPr>
          <w:rFonts w:hint="default"/>
          <w:b w:val="0"/>
          <w:bCs w:val="0"/>
          <w:lang w:val="es-ES"/>
        </w:rPr>
        <w:t xml:space="preserve">Concretament, en l’activitat subvencional de les intervencions per al desenvolupament rural, es fa palès que les possibles persones beneficiaris dels ajuts </w:t>
      </w:r>
      <w:r>
        <w:rPr>
          <w:rFonts w:hint="default" w:ascii="Noto Sans" w:hAnsi="Noto Sans" w:eastAsia="Calibri" w:cs="Noto Sans"/>
          <w:sz w:val="22"/>
          <w:szCs w:val="22"/>
          <w:highlight w:val="none"/>
        </w:rPr>
        <w:t>tenen capacitat acreditada i disposen de</w:t>
      </w:r>
      <w:r>
        <w:rPr>
          <w:rFonts w:hint="default" w:cs="Noto Sans"/>
          <w:sz w:val="22"/>
          <w:szCs w:val="22"/>
          <w:highlight w:val="none"/>
          <w:lang w:val="es-ES"/>
        </w:rPr>
        <w:t>ls</w:t>
      </w:r>
      <w:r>
        <w:rPr>
          <w:rFonts w:hint="default" w:ascii="Noto Sans" w:hAnsi="Noto Sans" w:eastAsia="Calibri" w:cs="Noto Sans"/>
          <w:sz w:val="22"/>
          <w:szCs w:val="22"/>
          <w:highlight w:val="none"/>
        </w:rPr>
        <w:t xml:space="preserve"> mitjans</w:t>
      </w:r>
      <w:r>
        <w:rPr>
          <w:rFonts w:hint="default" w:cs="Noto Sans"/>
          <w:sz w:val="22"/>
          <w:szCs w:val="22"/>
          <w:highlight w:val="none"/>
          <w:lang w:val="es-ES"/>
        </w:rPr>
        <w:t xml:space="preserve"> adients</w:t>
      </w:r>
      <w:r>
        <w:rPr>
          <w:rFonts w:hint="default" w:ascii="Noto Sans" w:hAnsi="Noto Sans" w:eastAsia="Calibri" w:cs="Noto Sans"/>
          <w:sz w:val="22"/>
          <w:szCs w:val="22"/>
          <w:highlight w:val="none"/>
        </w:rPr>
        <w:t xml:space="preserve"> per accedir i relacionar-se electrònicament</w:t>
      </w:r>
      <w:r>
        <w:rPr>
          <w:rFonts w:hint="default" w:cs="Noto Sans"/>
          <w:sz w:val="22"/>
          <w:szCs w:val="22"/>
          <w:highlight w:val="none"/>
          <w:lang w:val="es-ES"/>
        </w:rPr>
        <w:t>. Així es constata fefaentment des del moment en què per obtenir un ajut s’exigeix a la persona interessada complir alguns requisits per als quals es requereix haver realitzat, prèviament, un tràmit de manera electrònica, com pugui ser la inscripció obligatòria en un registre oficial determinat o la pràctica de qualsevol acte que, per la seva naturalesa, acrediti estar en possessió d’aquestes capacitats i mitjans.</w:t>
      </w:r>
    </w:p>
    <w:p w14:paraId="6571818C">
      <w:pPr>
        <w:rPr>
          <w:rFonts w:hint="default" w:cs="Noto Sans"/>
          <w:sz w:val="22"/>
          <w:szCs w:val="22"/>
          <w:highlight w:val="none"/>
          <w:lang w:val="es-ES"/>
        </w:rPr>
      </w:pPr>
    </w:p>
    <w:p w14:paraId="52322F4E">
      <w:pPr>
        <w:rPr>
          <w:rFonts w:hint="default"/>
          <w:b w:val="0"/>
          <w:bCs w:val="0"/>
          <w:lang w:val="es-ES"/>
        </w:rPr>
      </w:pPr>
      <w:r>
        <w:rPr>
          <w:rFonts w:hint="default"/>
          <w:b w:val="0"/>
          <w:bCs w:val="0"/>
          <w:lang w:val="es-ES"/>
        </w:rPr>
        <w:t xml:space="preserve">En aquest sentit, l’article 41.1 de la </w:t>
      </w:r>
      <w:r>
        <w:rPr>
          <w:rFonts w:hint="default" w:ascii="Noto Sans" w:hAnsi="Noto Sans" w:eastAsia="Calibri" w:cs="Noto Sans"/>
          <w:sz w:val="22"/>
          <w:szCs w:val="22"/>
          <w:highlight w:val="none"/>
        </w:rPr>
        <w:t>Llei 39/2015, d</w:t>
      </w:r>
      <w:r>
        <w:rPr>
          <w:rFonts w:hint="default" w:ascii="Noto Sans" w:hAnsi="Noto Sans" w:eastAsia="Calibri" w:cs="Noto Sans"/>
          <w:sz w:val="22"/>
          <w:szCs w:val="22"/>
          <w:highlight w:val="none"/>
          <w:lang w:val="es-ES"/>
        </w:rPr>
        <w:t>’</w:t>
      </w:r>
      <w:r>
        <w:rPr>
          <w:rFonts w:hint="default" w:ascii="Noto Sans" w:hAnsi="Noto Sans" w:eastAsia="Calibri" w:cs="Noto Sans"/>
          <w:sz w:val="22"/>
          <w:szCs w:val="22"/>
          <w:highlight w:val="none"/>
        </w:rPr>
        <w:t>1 d’octubre, del Procediment Administratiu Comú de les Administracions Públiques</w:t>
      </w:r>
      <w:r>
        <w:rPr>
          <w:rFonts w:hint="default" w:cs="Noto Sans"/>
          <w:sz w:val="22"/>
          <w:szCs w:val="22"/>
          <w:highlight w:val="none"/>
          <w:lang w:val="es-ES"/>
        </w:rPr>
        <w:t xml:space="preserve">, habilita a </w:t>
      </w:r>
      <w:r>
        <w:rPr>
          <w:rFonts w:hint="default"/>
          <w:b w:val="0"/>
          <w:bCs w:val="0"/>
          <w:lang w:val="es-ES"/>
        </w:rPr>
        <w:t xml:space="preserve">les Administracions perquè puguin establir, </w:t>
      </w:r>
      <w:r>
        <w:rPr>
          <w:rFonts w:hint="default" w:cs="Noto Sans"/>
          <w:sz w:val="22"/>
          <w:szCs w:val="22"/>
          <w:highlight w:val="none"/>
          <w:lang w:val="es-ES"/>
        </w:rPr>
        <w:t xml:space="preserve">mitjançant una norma reglamentària, </w:t>
      </w:r>
      <w:r>
        <w:rPr>
          <w:rFonts w:hint="default"/>
          <w:b w:val="0"/>
          <w:bCs w:val="0"/>
          <w:lang w:val="es-ES"/>
        </w:rPr>
        <w:t>l'obligació de practicar electrònicament les notificacions per a determinats procediments i per a uns certs col·lectius de persones físiques que, per raó de la seva capacitat econòmica, tècnica, dedicació professional o altres motius, quedi acreditat que tenen accés i disponibilitat dels mitjans electrònics necessaris.</w:t>
      </w:r>
    </w:p>
    <w:p w14:paraId="65C87119">
      <w:pPr>
        <w:numPr>
          <w:ilvl w:val="0"/>
          <w:numId w:val="0"/>
        </w:numPr>
        <w:ind w:leftChars="0"/>
        <w:rPr>
          <w:rFonts w:hint="default"/>
          <w:b w:val="0"/>
          <w:bCs w:val="0"/>
          <w:lang w:val="es-ES"/>
        </w:rPr>
      </w:pPr>
    </w:p>
    <w:p w14:paraId="0598F404">
      <w:pPr>
        <w:numPr>
          <w:ilvl w:val="0"/>
          <w:numId w:val="0"/>
        </w:numPr>
        <w:ind w:leftChars="0"/>
        <w:rPr>
          <w:rFonts w:hint="default"/>
          <w:b w:val="0"/>
          <w:bCs w:val="0"/>
          <w:lang w:val="es-ES"/>
        </w:rPr>
      </w:pPr>
      <w:r>
        <w:rPr>
          <w:rFonts w:hint="default"/>
          <w:b w:val="0"/>
          <w:bCs w:val="0"/>
          <w:lang w:val="es-ES"/>
        </w:rPr>
        <w:t>D’aquesta manera, amb la possibilitat d’introduir mecanismes electrònics per practicar les notificacions a les persones físiques interessades, es disposa d’una eina àgil i efectiva per garantir l’aplicació dels esmentats principis d’eficiència i eficàcia en el procediment i es respon a les noves necessitats de simplificar les relacions amb l’Administració, especialment amb un sector que, per les seves característiques professionals, disposa de les capacitats i dels mitjans esmentats anteriorment.</w:t>
      </w:r>
    </w:p>
    <w:p w14:paraId="707D91FD">
      <w:pPr>
        <w:numPr>
          <w:ilvl w:val="0"/>
          <w:numId w:val="0"/>
        </w:numPr>
        <w:ind w:leftChars="0"/>
        <w:rPr>
          <w:rFonts w:hint="default"/>
          <w:b w:val="0"/>
          <w:bCs w:val="0"/>
          <w:lang w:val="es-ES"/>
        </w:rPr>
      </w:pPr>
    </w:p>
    <w:p w14:paraId="35E09B98">
      <w:pPr>
        <w:numPr>
          <w:ilvl w:val="0"/>
          <w:numId w:val="0"/>
        </w:numPr>
        <w:ind w:leftChars="0"/>
        <w:rPr>
          <w:rFonts w:hint="default"/>
          <w:b w:val="0"/>
          <w:bCs w:val="0"/>
          <w:lang w:val="es-ES"/>
        </w:rPr>
      </w:pPr>
      <w:r>
        <w:rPr>
          <w:rFonts w:hint="default"/>
          <w:b w:val="0"/>
          <w:bCs w:val="0"/>
          <w:lang w:val="es-ES"/>
        </w:rPr>
        <w:t>De conformitat amb l’article 15.2.</w:t>
      </w:r>
      <w:r>
        <w:rPr>
          <w:rFonts w:hint="default"/>
          <w:b w:val="0"/>
          <w:bCs w:val="0"/>
          <w:i/>
          <w:iCs/>
          <w:lang w:val="es-ES"/>
        </w:rPr>
        <w:t xml:space="preserve">j </w:t>
      </w:r>
      <w:r>
        <w:rPr>
          <w:rFonts w:hint="default"/>
          <w:b w:val="0"/>
          <w:bCs w:val="0"/>
          <w:i w:val="0"/>
          <w:iCs w:val="0"/>
          <w:lang w:val="es-ES"/>
        </w:rPr>
        <w:t xml:space="preserve">del Text refós de la Llei de Subvencions, aprovat pel Decret legislatiu 2/2005, de 28 de desembre, s’ha d’establir com a contingut mínim de la convocatòria el mitjà de publicació o notificació dels actes que integren el procediment, </w:t>
      </w:r>
      <w:r>
        <w:rPr>
          <w:rFonts w:hint="default"/>
          <w:b w:val="0"/>
          <w:bCs w:val="0"/>
          <w:lang w:val="es-ES"/>
        </w:rPr>
        <w:t xml:space="preserve">o bé a través del BOIB o bé de manera individual a cada interessat, motiu pel qual, per a aquest darrer supòsit, </w:t>
      </w:r>
      <w:r>
        <w:rPr>
          <w:rFonts w:hint="default"/>
          <w:b w:val="0"/>
          <w:bCs w:val="0"/>
          <w:i w:val="0"/>
          <w:iCs w:val="0"/>
          <w:lang w:val="es-ES"/>
        </w:rPr>
        <w:t xml:space="preserve">resulta procedent </w:t>
      </w:r>
      <w:r>
        <w:rPr>
          <w:rFonts w:hint="default"/>
          <w:b w:val="0"/>
          <w:bCs w:val="0"/>
          <w:lang w:val="es-ES"/>
        </w:rPr>
        <w:t>modificar l’article 10.4 de l’Ordre 10/2023, de 5 d’abril, perquè sigui cada convocatòria d’ajuda la que pugui establir, igualment, la possibilitat de practicar obligatòriament aquesta notificació individual de manera electrònica, atenent en cada cas a les capacitats de les persones interessades per accedir i disposar dels mitjans electrònics.</w:t>
      </w:r>
    </w:p>
    <w:p w14:paraId="1015D194">
      <w:pPr>
        <w:numPr>
          <w:ilvl w:val="0"/>
          <w:numId w:val="0"/>
        </w:numPr>
        <w:ind w:leftChars="0"/>
        <w:rPr>
          <w:rFonts w:hint="default"/>
          <w:b w:val="0"/>
          <w:bCs w:val="0"/>
          <w:lang w:val="es-ES"/>
        </w:rPr>
      </w:pPr>
    </w:p>
    <w:p w14:paraId="3AF32B92">
      <w:pPr>
        <w:numPr>
          <w:ilvl w:val="0"/>
          <w:numId w:val="0"/>
        </w:numPr>
        <w:ind w:leftChars="0"/>
        <w:rPr>
          <w:rFonts w:hint="default"/>
          <w:b w:val="0"/>
          <w:bCs w:val="0"/>
          <w:lang w:val="es-ES"/>
        </w:rPr>
      </w:pPr>
      <w:r>
        <w:rPr>
          <w:rFonts w:hint="default"/>
          <w:b w:val="0"/>
          <w:bCs w:val="0"/>
          <w:lang w:val="es-ES"/>
        </w:rPr>
        <w:t xml:space="preserve">4. D’altra banda, en determinades intervencions per al desenvolupament rural, s’exigeix que l’empresa beneficiària del corresponent ajut no es trobi en situació de crisi, concepte que es defineix a les </w:t>
      </w:r>
      <w:r>
        <w:rPr>
          <w:rFonts w:hint="default" w:ascii="Noto Sans" w:hAnsi="Noto Sans" w:cs="Noto Sans"/>
          <w:b w:val="0"/>
          <w:bCs w:val="0"/>
          <w:lang w:val="es-ES"/>
        </w:rPr>
        <w:t>«</w:t>
      </w:r>
      <w:r>
        <w:rPr>
          <w:rFonts w:hint="default"/>
          <w:b w:val="0"/>
          <w:bCs w:val="0"/>
          <w:lang w:val="es-ES"/>
        </w:rPr>
        <w:t>Directrius sobre ajudes estatals de salvament i de reestructuració d'empreses no financeres en crisis</w:t>
      </w:r>
      <w:r>
        <w:rPr>
          <w:rFonts w:hint="default" w:ascii="Noto Sans" w:hAnsi="Noto Sans" w:cs="Noto Sans"/>
          <w:b w:val="0"/>
          <w:bCs w:val="0"/>
          <w:lang w:val="es-ES"/>
        </w:rPr>
        <w:t>»</w:t>
      </w:r>
      <w:r>
        <w:rPr>
          <w:rFonts w:hint="default"/>
          <w:b w:val="0"/>
          <w:bCs w:val="0"/>
          <w:lang w:val="es-ES"/>
        </w:rPr>
        <w:t xml:space="preserve"> establertes en la Comunicació de la Comissió 2014/C 249/01. Atès que el compliment d’aquesta circumstància per part de les empreses beneficiàries no és sempre obligatòria, perquè depèn de les condicions que assenyali la intervenció concreta, és necessari modificar l’article 5.8 de l’Ordre 10/2023, de 5 d’abril, per establir que aquest requisit es compleixi quan escaigui segons els casos, de conformitat amb la normativa aplicable o les especificacions addicionals que reculli el PEPAC per a cada intervenció.</w:t>
      </w:r>
    </w:p>
    <w:p w14:paraId="1AF5A18B">
      <w:pPr>
        <w:numPr>
          <w:ilvl w:val="0"/>
          <w:numId w:val="0"/>
        </w:numPr>
        <w:ind w:leftChars="0"/>
        <w:rPr>
          <w:rFonts w:hint="default"/>
          <w:b w:val="0"/>
          <w:bCs w:val="0"/>
          <w:lang w:val="es-ES"/>
        </w:rPr>
      </w:pPr>
    </w:p>
    <w:p w14:paraId="3DA0C114">
      <w:pPr>
        <w:rPr>
          <w:rFonts w:hint="default"/>
          <w:b w:val="0"/>
          <w:bCs w:val="0"/>
          <w:lang w:val="es-ES"/>
        </w:rPr>
      </w:pPr>
      <w:r>
        <w:rPr>
          <w:rFonts w:hint="default"/>
          <w:b w:val="0"/>
          <w:bCs w:val="0"/>
          <w:lang w:val="es-ES"/>
        </w:rPr>
        <w:t>5. En l’elaboració d’aquesta Ordre s’han seguit els principis de bona regulació que estableix l'article 49 de la Llei 1/2019, de 31 de gener, del Govern de les Illes Balears. En aquest sentit, l'Ordre respon al principi de necessitat, atès que, d'acord amb l'article 12 de l’esmentat Text refós de la Llei de subvencions, no es pot iniciar el procediment de concessió de subvencions sense que el conseller o la consellera competent hagi establert prèviament per ordre, en ús de la seva potestat reglamentària, les bases reguladores corresponents. I donat que aquestes s’estableixen mitjançant una disposició de caràcter reglamentari, és necessària una norma del mateix rang normatiu per modificar-la, en aplicació del principi de jerarquia normativa.</w:t>
      </w:r>
    </w:p>
    <w:p w14:paraId="6483EF09">
      <w:pPr>
        <w:rPr>
          <w:rFonts w:hint="default"/>
          <w:b w:val="0"/>
          <w:bCs w:val="0"/>
          <w:lang w:val="es-ES"/>
        </w:rPr>
      </w:pPr>
    </w:p>
    <w:p w14:paraId="47062820">
      <w:pPr>
        <w:rPr>
          <w:rFonts w:hint="default"/>
          <w:b w:val="0"/>
          <w:bCs w:val="0"/>
          <w:lang w:val="es-ES"/>
        </w:rPr>
      </w:pPr>
      <w:r>
        <w:rPr>
          <w:rFonts w:hint="default"/>
          <w:b w:val="0"/>
          <w:bCs w:val="0"/>
          <w:lang w:val="es-ES"/>
        </w:rPr>
        <w:t>En relació amb el principi d'eficàcia, existeixen raons d'interès general per donar suport a les rela</w:t>
      </w:r>
      <w:r>
        <w:rPr>
          <w:rFonts w:hint="default"/>
          <w:b w:val="0"/>
          <w:bCs w:val="0"/>
          <w:highlight w:val="none"/>
          <w:lang w:val="es-ES"/>
        </w:rPr>
        <w:t>cions per mitjans electrònics de l’Administració en els actes de notificació en el procediment de concessió dels ajuts de les intervencions per al desenvolupament rural, per la qual cosa aquesta Ordre constitueix l'instrument adequat per assolir la consecució de les finalitats qu</w:t>
      </w:r>
      <w:r>
        <w:rPr>
          <w:rFonts w:hint="default"/>
          <w:b w:val="0"/>
          <w:bCs w:val="0"/>
          <w:lang w:val="es-ES"/>
        </w:rPr>
        <w:t>e es persegueixen.</w:t>
      </w:r>
    </w:p>
    <w:p w14:paraId="54A64F7B">
      <w:pPr>
        <w:rPr>
          <w:rFonts w:hint="default"/>
          <w:b w:val="0"/>
          <w:bCs w:val="0"/>
          <w:lang w:val="es-ES"/>
        </w:rPr>
      </w:pPr>
    </w:p>
    <w:p w14:paraId="6E2F8454">
      <w:pPr>
        <w:rPr>
          <w:rFonts w:hint="default"/>
          <w:b w:val="0"/>
          <w:bCs w:val="0"/>
          <w:lang w:val="es-ES"/>
        </w:rPr>
      </w:pPr>
      <w:r>
        <w:rPr>
          <w:rFonts w:hint="default"/>
          <w:b w:val="0"/>
          <w:bCs w:val="0"/>
          <w:lang w:val="es-ES"/>
        </w:rPr>
        <w:t>També s'ajusta al principi de proporcionalitat, atès que conté la regulació imprescindible per atendre les finalitats que descriu, i igualment es garanteix el principi de seguretat jurídica de les persones destinatàries, en la mesura que l'Ordre és coherent amb el marc normatiu general en matèria de subvencions.</w:t>
      </w:r>
    </w:p>
    <w:p w14:paraId="37CFEEEE">
      <w:pPr>
        <w:rPr>
          <w:rFonts w:hint="default"/>
          <w:b w:val="0"/>
          <w:bCs w:val="0"/>
          <w:lang w:val="es-ES"/>
        </w:rPr>
      </w:pPr>
    </w:p>
    <w:p w14:paraId="6AF6F960">
      <w:pPr>
        <w:rPr>
          <w:rFonts w:hint="default"/>
          <w:b w:val="0"/>
          <w:bCs w:val="0"/>
          <w:lang w:val="es-ES"/>
        </w:rPr>
      </w:pPr>
      <w:r>
        <w:rPr>
          <w:rFonts w:hint="default"/>
          <w:b w:val="0"/>
          <w:bCs w:val="0"/>
          <w:lang w:val="es-ES"/>
        </w:rPr>
        <w:t xml:space="preserve">Així mateix, compleix el principi de transparència, atès que s'han efectuat els tràmits d'audiència, consulta i informació pública preceptius i se n'ha identificat amb claredat la finalitat. </w:t>
      </w:r>
    </w:p>
    <w:p w14:paraId="02F7F3FB">
      <w:pPr>
        <w:rPr>
          <w:rFonts w:hint="default"/>
          <w:b w:val="0"/>
          <w:bCs w:val="0"/>
          <w:lang w:val="es-ES"/>
        </w:rPr>
      </w:pPr>
    </w:p>
    <w:p w14:paraId="1D893987">
      <w:pPr>
        <w:rPr>
          <w:rFonts w:hint="default"/>
          <w:b w:val="0"/>
          <w:bCs w:val="0"/>
          <w:lang w:val="es-ES"/>
        </w:rPr>
      </w:pPr>
      <w:r>
        <w:rPr>
          <w:rFonts w:hint="default"/>
          <w:b w:val="0"/>
          <w:bCs w:val="0"/>
          <w:lang w:val="es-ES"/>
        </w:rPr>
        <w:t>Finalment, la norma és conforme als principis d'eficiència, qualitat i simplificació, perquè no imposa càrregues administratives innecessàries, sinó que les disminueix, i utilitza termes clars, precisos i comprensibles per al sector al qual va dirigida.</w:t>
      </w:r>
    </w:p>
    <w:p w14:paraId="315DE560">
      <w:pPr>
        <w:rPr>
          <w:rFonts w:hint="default"/>
          <w:b w:val="0"/>
          <w:bCs w:val="0"/>
          <w:lang w:val="es-ES"/>
        </w:rPr>
      </w:pPr>
    </w:p>
    <w:p w14:paraId="433E0221">
      <w:pPr>
        <w:rPr>
          <w:rFonts w:hint="default"/>
          <w:b w:val="0"/>
          <w:bCs w:val="0"/>
          <w:lang w:val="es-ES"/>
        </w:rPr>
      </w:pPr>
      <w:r>
        <w:rPr>
          <w:rFonts w:hint="default"/>
          <w:b w:val="0"/>
          <w:bCs w:val="0"/>
          <w:lang w:val="es-ES"/>
        </w:rPr>
        <w:t>Per tot això, a proposta de la Secretaria General, en ús de les facultats que m’atribueix l'article 41.</w:t>
      </w:r>
      <w:r>
        <w:rPr>
          <w:rFonts w:hint="default"/>
          <w:b w:val="0"/>
          <w:bCs w:val="0"/>
          <w:i/>
          <w:iCs/>
          <w:lang w:val="es-ES"/>
        </w:rPr>
        <w:t>c</w:t>
      </w:r>
      <w:r>
        <w:rPr>
          <w:rFonts w:hint="default"/>
          <w:b w:val="0"/>
          <w:bCs w:val="0"/>
          <w:lang w:val="es-ES"/>
        </w:rPr>
        <w:t xml:space="preserve"> de la Llei 1/2019, de 31 de gener, del Govern de les Illes Balears, en relació amb l'article 12 del Text refós de la Llei de subvencions, aprovat pel Decret legislatiu 2/2005, de 28 de desembre, i de conformitat amb el Decret 12/2023, de 10 de juliol, de la presidenta de les Illes Balears, pel qual s'estableixen les competències i l'estructura orgànica bàsica de les conselleries de l'Administració de la Comunitat Autònoma de les Illes Balears, dict la següent</w:t>
      </w:r>
    </w:p>
    <w:p w14:paraId="3B242022">
      <w:pPr>
        <w:rPr>
          <w:rFonts w:hint="default"/>
          <w:b/>
          <w:bCs/>
          <w:lang w:val="es-ES"/>
        </w:rPr>
      </w:pPr>
    </w:p>
    <w:p w14:paraId="68804828">
      <w:pPr>
        <w:jc w:val="center"/>
        <w:rPr>
          <w:rFonts w:hint="default"/>
          <w:b/>
          <w:bCs/>
          <w:lang w:val="es-ES"/>
        </w:rPr>
      </w:pPr>
      <w:r>
        <w:rPr>
          <w:rFonts w:hint="default"/>
          <w:b/>
          <w:bCs/>
          <w:lang w:val="es-ES"/>
        </w:rPr>
        <w:t>Ordre</w:t>
      </w:r>
    </w:p>
    <w:p w14:paraId="3E5125AD">
      <w:pPr>
        <w:jc w:val="center"/>
        <w:rPr>
          <w:rFonts w:hint="default"/>
          <w:b/>
          <w:bCs/>
          <w:lang w:val="es-ES"/>
        </w:rPr>
      </w:pPr>
    </w:p>
    <w:p w14:paraId="21FDAEEC">
      <w:pPr>
        <w:rPr>
          <w:rFonts w:hint="default"/>
          <w:b/>
          <w:bCs/>
          <w:lang w:val="es-ES"/>
        </w:rPr>
      </w:pPr>
      <w:r>
        <w:rPr>
          <w:rFonts w:hint="default"/>
          <w:b/>
          <w:bCs/>
          <w:lang w:val="es-ES"/>
        </w:rPr>
        <w:t>Article únic</w:t>
      </w:r>
    </w:p>
    <w:p w14:paraId="417B1187">
      <w:pPr>
        <w:rPr>
          <w:rFonts w:hint="default"/>
          <w:b/>
          <w:bCs/>
          <w:lang w:val="es-ES"/>
        </w:rPr>
      </w:pPr>
      <w:r>
        <w:rPr>
          <w:rFonts w:hint="default"/>
          <w:b/>
          <w:bCs/>
          <w:lang w:val="es-ES"/>
        </w:rPr>
        <w:t>Modificació de l</w:t>
      </w:r>
      <w:r>
        <w:rPr>
          <w:rFonts w:hint="default" w:cs="Noto Sans"/>
          <w:b/>
          <w:bCs/>
          <w:lang w:val="es-ES"/>
        </w:rPr>
        <w:t>’</w:t>
      </w:r>
      <w:r>
        <w:rPr>
          <w:rFonts w:hint="default"/>
          <w:b/>
          <w:bCs/>
          <w:lang w:val="es-ES"/>
        </w:rPr>
        <w:t>Ordre 10/2023 de la consellera d’Agricultura, Pesca i Alimentació per la qual s’estableixen les bases reguladores per a la concessió de subvencions en el marc de les intervencions per al desenvolupament rural de les Illes Balears 2023-2027</w:t>
      </w:r>
    </w:p>
    <w:p w14:paraId="4E0CE09D">
      <w:pPr>
        <w:rPr>
          <w:rFonts w:hint="default"/>
          <w:b/>
          <w:bCs/>
          <w:lang w:val="es-ES"/>
        </w:rPr>
      </w:pPr>
    </w:p>
    <w:p w14:paraId="1871DCF4">
      <w:pPr>
        <w:rPr>
          <w:lang w:val="ca-ES"/>
        </w:rPr>
      </w:pPr>
      <w:r>
        <w:rPr>
          <w:lang w:val="ca-ES"/>
        </w:rPr>
        <w:t xml:space="preserve">Es modifica </w:t>
      </w:r>
      <w:r>
        <w:rPr>
          <w:rFonts w:hint="default"/>
          <w:lang w:val="es-ES"/>
        </w:rPr>
        <w:t>l’Ordre 10/2023 de la consellera d’Agricultura, Pesca i Alimentació, de 5 d’abril de 2023, per la qual s’estableixen les bases reguladores per a la concessió de subvencions en el marc de les intervencions per al desenvolupament rural de les Illes Balears 2023-2027, publicada al</w:t>
      </w:r>
      <w:r>
        <w:rPr>
          <w:lang w:val="ca-ES"/>
        </w:rPr>
        <w:t xml:space="preserve"> BOIB núm. </w:t>
      </w:r>
      <w:r>
        <w:rPr>
          <w:rFonts w:hint="default"/>
          <w:lang w:val="es-ES"/>
        </w:rPr>
        <w:t>43</w:t>
      </w:r>
      <w:r>
        <w:rPr>
          <w:lang w:val="ca-ES"/>
        </w:rPr>
        <w:t xml:space="preserve"> de</w:t>
      </w:r>
      <w:r>
        <w:rPr>
          <w:rFonts w:hint="default"/>
          <w:lang w:val="es-ES"/>
        </w:rPr>
        <w:t xml:space="preserve"> 6 d’abril de 2023</w:t>
      </w:r>
      <w:r>
        <w:rPr>
          <w:lang w:val="ca-ES"/>
        </w:rPr>
        <w:t>, en el sentit següent:</w:t>
      </w:r>
    </w:p>
    <w:p w14:paraId="62FFF8D1">
      <w:pPr>
        <w:rPr>
          <w:rFonts w:hint="default"/>
          <w:b/>
          <w:bCs/>
          <w:lang w:val="es-ES"/>
        </w:rPr>
      </w:pPr>
    </w:p>
    <w:p w14:paraId="2E223B0C">
      <w:pPr>
        <w:numPr>
          <w:ilvl w:val="0"/>
          <w:numId w:val="0"/>
        </w:numPr>
        <w:rPr>
          <w:rFonts w:hint="default"/>
          <w:b w:val="0"/>
          <w:bCs w:val="0"/>
          <w:lang w:val="es-ES"/>
        </w:rPr>
      </w:pPr>
      <w:r>
        <w:rPr>
          <w:rFonts w:hint="default"/>
          <w:b w:val="0"/>
          <w:bCs w:val="0"/>
          <w:lang w:val="es-ES"/>
        </w:rPr>
        <w:t>1. L’article 5.8 queda modificat de la manera següent:</w:t>
      </w:r>
    </w:p>
    <w:p w14:paraId="2DDD31E1">
      <w:pPr>
        <w:numPr>
          <w:ilvl w:val="0"/>
          <w:numId w:val="0"/>
        </w:numPr>
        <w:rPr>
          <w:rFonts w:hint="default"/>
          <w:b w:val="0"/>
          <w:bCs w:val="0"/>
          <w:lang w:val="es-ES"/>
        </w:rPr>
      </w:pPr>
    </w:p>
    <w:p w14:paraId="3EF37BA4">
      <w:pPr>
        <w:numPr>
          <w:ilvl w:val="0"/>
          <w:numId w:val="0"/>
        </w:numPr>
        <w:ind w:left="708" w:leftChars="0"/>
        <w:rPr>
          <w:rFonts w:hint="default"/>
          <w:b w:val="0"/>
          <w:bCs w:val="0"/>
          <w:lang w:val="es-ES"/>
        </w:rPr>
      </w:pPr>
      <w:r>
        <w:rPr>
          <w:rFonts w:hint="default" w:ascii="Noto Sans" w:hAnsi="Noto Sans" w:cs="Noto Sans"/>
          <w:lang w:val="es-ES"/>
        </w:rPr>
        <w:t>«</w:t>
      </w:r>
      <w:r>
        <w:rPr>
          <w:rFonts w:hint="default"/>
          <w:b w:val="0"/>
          <w:bCs w:val="0"/>
          <w:lang w:val="es-ES"/>
        </w:rPr>
        <w:t>8. No poden ser beneficiàries dels ajuts les empreses que es trobin en crisi, segons la definició que estableixen les directrius comunitàries sobre ajuts estatals de salvament i de reestructuració d'empreses en crisi (Comunicació 2014/C 249/01 de la Comissió, de 31 de juliol de 2014) o norma que la substitueixi, amb les excepcions que s'estableixin al text esmen</w:t>
      </w:r>
      <w:r>
        <w:rPr>
          <w:rFonts w:hint="default"/>
          <w:b w:val="0"/>
          <w:bCs w:val="0"/>
          <w:highlight w:val="none"/>
          <w:lang w:val="es-ES"/>
        </w:rPr>
        <w:t>tat, i sempre que així ho estableixi la intervenció corresponent o la normativa d’aplicació.</w:t>
      </w:r>
      <w:r>
        <w:rPr>
          <w:rFonts w:hint="default" w:ascii="Noto Sans" w:hAnsi="Noto Sans" w:cs="Noto Sans"/>
          <w:highlight w:val="none"/>
          <w:lang w:val="es-ES"/>
        </w:rPr>
        <w:t>»</w:t>
      </w:r>
    </w:p>
    <w:p w14:paraId="1F0134B1">
      <w:pPr>
        <w:numPr>
          <w:ilvl w:val="0"/>
          <w:numId w:val="0"/>
        </w:numPr>
        <w:rPr>
          <w:rFonts w:hint="default"/>
          <w:b w:val="0"/>
          <w:bCs w:val="0"/>
          <w:lang w:val="es-ES"/>
        </w:rPr>
      </w:pPr>
    </w:p>
    <w:p w14:paraId="18360702">
      <w:pPr>
        <w:numPr>
          <w:ilvl w:val="0"/>
          <w:numId w:val="0"/>
        </w:numPr>
        <w:ind w:leftChars="0"/>
        <w:rPr>
          <w:rFonts w:hint="default"/>
          <w:b w:val="0"/>
          <w:bCs w:val="0"/>
          <w:lang w:val="es-ES"/>
        </w:rPr>
      </w:pPr>
      <w:r>
        <w:rPr>
          <w:rFonts w:hint="default"/>
          <w:b w:val="0"/>
          <w:bCs w:val="0"/>
          <w:lang w:val="es-ES"/>
        </w:rPr>
        <w:t>2. El primer paràgraf de l’article 6.2 queda modificat de la manera següent:</w:t>
      </w:r>
    </w:p>
    <w:p w14:paraId="7B2AA66C">
      <w:pPr>
        <w:numPr>
          <w:ilvl w:val="0"/>
          <w:numId w:val="0"/>
        </w:numPr>
        <w:ind w:leftChars="0"/>
        <w:rPr>
          <w:rFonts w:hint="default"/>
          <w:b w:val="0"/>
          <w:bCs w:val="0"/>
          <w:lang w:val="es-ES"/>
        </w:rPr>
      </w:pPr>
    </w:p>
    <w:p w14:paraId="30D12B16">
      <w:pPr>
        <w:numPr>
          <w:ilvl w:val="0"/>
          <w:numId w:val="0"/>
        </w:numPr>
        <w:ind w:left="708" w:leftChars="0"/>
        <w:rPr>
          <w:rFonts w:hint="default"/>
          <w:b w:val="0"/>
          <w:bCs w:val="0"/>
          <w:lang w:val="es-ES"/>
        </w:rPr>
      </w:pPr>
      <w:r>
        <w:rPr>
          <w:rFonts w:hint="default" w:ascii="Noto Sans" w:hAnsi="Noto Sans" w:cs="Noto Sans"/>
          <w:lang w:val="es-ES"/>
        </w:rPr>
        <w:t>«</w:t>
      </w:r>
      <w:r>
        <w:rPr>
          <w:rFonts w:hint="default"/>
          <w:b w:val="0"/>
          <w:bCs w:val="0"/>
          <w:lang w:val="es-ES"/>
        </w:rPr>
        <w:t>2. En el cas de les inversions, les despeses subvencionables es limiten al que es disposa als articles 73 i 74 del Reglament (UE) 2021/2115 del Parlament Europeu i del Consell, així com a l'article 11 del Reglament delegat (UE) 2022/126 de la Comis</w:t>
      </w:r>
      <w:r>
        <w:rPr>
          <w:rFonts w:hint="default"/>
          <w:b w:val="0"/>
          <w:bCs w:val="0"/>
          <w:highlight w:val="none"/>
          <w:lang w:val="es-ES"/>
        </w:rPr>
        <w:t>sió, quan sigui aplicable, i a la n</w:t>
      </w:r>
      <w:r>
        <w:rPr>
          <w:rFonts w:hint="default"/>
          <w:b w:val="0"/>
          <w:bCs w:val="0"/>
          <w:lang w:val="es-ES"/>
        </w:rPr>
        <w:t>ormativa nacional d’aplicació.</w:t>
      </w:r>
      <w:r>
        <w:rPr>
          <w:rFonts w:hint="default" w:ascii="Noto Sans" w:hAnsi="Noto Sans" w:cs="Noto Sans"/>
          <w:lang w:val="es-ES"/>
        </w:rPr>
        <w:t>»</w:t>
      </w:r>
    </w:p>
    <w:p w14:paraId="373300A7">
      <w:pPr>
        <w:numPr>
          <w:ilvl w:val="0"/>
          <w:numId w:val="0"/>
        </w:numPr>
        <w:ind w:left="708" w:leftChars="0"/>
        <w:rPr>
          <w:rFonts w:hint="default"/>
          <w:b w:val="0"/>
          <w:bCs w:val="0"/>
          <w:lang w:val="es-ES"/>
        </w:rPr>
      </w:pPr>
    </w:p>
    <w:p w14:paraId="046B8348">
      <w:pPr>
        <w:numPr>
          <w:ilvl w:val="0"/>
          <w:numId w:val="0"/>
        </w:numPr>
        <w:ind w:leftChars="0"/>
        <w:rPr>
          <w:rFonts w:hint="default"/>
          <w:b w:val="0"/>
          <w:bCs w:val="0"/>
          <w:lang w:val="es-ES"/>
        </w:rPr>
      </w:pPr>
      <w:r>
        <w:rPr>
          <w:rFonts w:hint="default"/>
          <w:b w:val="0"/>
          <w:bCs w:val="0"/>
          <w:lang w:val="es-ES"/>
        </w:rPr>
        <w:t>3. L’article 6.3 queda modificat de la manera següent:</w:t>
      </w:r>
    </w:p>
    <w:p w14:paraId="58A6DA5F">
      <w:pPr>
        <w:numPr>
          <w:ilvl w:val="0"/>
          <w:numId w:val="0"/>
        </w:numPr>
        <w:rPr>
          <w:rFonts w:hint="default"/>
          <w:b w:val="0"/>
          <w:bCs w:val="0"/>
          <w:lang w:val="es-ES"/>
        </w:rPr>
      </w:pPr>
    </w:p>
    <w:p w14:paraId="72362914">
      <w:pPr>
        <w:numPr>
          <w:ilvl w:val="0"/>
          <w:numId w:val="0"/>
        </w:numPr>
        <w:ind w:left="708" w:leftChars="0"/>
        <w:rPr>
          <w:rFonts w:hint="default"/>
          <w:b w:val="0"/>
          <w:bCs w:val="0"/>
          <w:lang w:val="es-ES"/>
        </w:rPr>
      </w:pPr>
      <w:r>
        <w:rPr>
          <w:rFonts w:hint="default" w:ascii="Noto Sans" w:hAnsi="Noto Sans" w:cs="Noto Sans"/>
          <w:lang w:val="es-ES"/>
        </w:rPr>
        <w:t>«</w:t>
      </w:r>
      <w:r>
        <w:rPr>
          <w:rFonts w:hint="default"/>
          <w:b w:val="0"/>
          <w:bCs w:val="0"/>
          <w:lang w:val="es-ES"/>
        </w:rPr>
        <w:t>3. Quant a les despeses administratives i de personal, és aplicable el que disposa l'article 23 del Reglament deleg</w:t>
      </w:r>
      <w:r>
        <w:rPr>
          <w:rFonts w:hint="default"/>
          <w:b w:val="0"/>
          <w:bCs w:val="0"/>
          <w:highlight w:val="none"/>
          <w:lang w:val="es-ES"/>
        </w:rPr>
        <w:t>at (UE) 2022/126 de la Comissió, si ho assenyala la normativa d’aplicació vigent.</w:t>
      </w:r>
      <w:r>
        <w:rPr>
          <w:rFonts w:hint="default" w:ascii="Noto Sans" w:hAnsi="Noto Sans" w:cs="Noto Sans"/>
          <w:highlight w:val="none"/>
          <w:lang w:val="es-ES"/>
        </w:rPr>
        <w:t>»</w:t>
      </w:r>
    </w:p>
    <w:p w14:paraId="0A77EE6C">
      <w:pPr>
        <w:numPr>
          <w:ilvl w:val="0"/>
          <w:numId w:val="0"/>
        </w:numPr>
        <w:ind w:left="708" w:leftChars="0"/>
        <w:rPr>
          <w:rFonts w:hint="default"/>
          <w:b w:val="0"/>
          <w:bCs w:val="0"/>
          <w:lang w:val="es-ES"/>
        </w:rPr>
      </w:pPr>
    </w:p>
    <w:p w14:paraId="508E258B">
      <w:pPr>
        <w:numPr>
          <w:ilvl w:val="0"/>
          <w:numId w:val="0"/>
        </w:numPr>
        <w:ind w:leftChars="0"/>
        <w:rPr>
          <w:rFonts w:hint="default"/>
          <w:b w:val="0"/>
          <w:bCs w:val="0"/>
          <w:lang w:val="es-ES"/>
        </w:rPr>
      </w:pPr>
      <w:r>
        <w:rPr>
          <w:rFonts w:hint="default"/>
          <w:b w:val="0"/>
          <w:bCs w:val="0"/>
          <w:lang w:val="es-ES"/>
        </w:rPr>
        <w:t>4. L’article 10.4 queda modificat de la manera següent:</w:t>
      </w:r>
    </w:p>
    <w:p w14:paraId="356C1762">
      <w:pPr>
        <w:numPr>
          <w:ilvl w:val="0"/>
          <w:numId w:val="0"/>
        </w:numPr>
        <w:rPr>
          <w:rFonts w:hint="default"/>
          <w:b w:val="0"/>
          <w:bCs w:val="0"/>
          <w:lang w:val="es-ES"/>
        </w:rPr>
      </w:pPr>
    </w:p>
    <w:p w14:paraId="75C8CD02">
      <w:pPr>
        <w:numPr>
          <w:ilvl w:val="0"/>
          <w:numId w:val="0"/>
        </w:numPr>
        <w:ind w:left="708" w:leftChars="0"/>
        <w:rPr>
          <w:rFonts w:hint="default"/>
          <w:b w:val="0"/>
          <w:bCs w:val="0"/>
          <w:highlight w:val="none"/>
          <w:lang w:val="es-ES"/>
        </w:rPr>
      </w:pPr>
      <w:r>
        <w:rPr>
          <w:rFonts w:hint="default" w:ascii="Noto Sans" w:hAnsi="Noto Sans" w:cs="Noto Sans"/>
          <w:highlight w:val="none"/>
          <w:lang w:val="es-ES"/>
        </w:rPr>
        <w:t>«</w:t>
      </w:r>
      <w:r>
        <w:rPr>
          <w:rFonts w:hint="default"/>
          <w:b w:val="0"/>
          <w:bCs w:val="0"/>
          <w:highlight w:val="none"/>
          <w:lang w:val="es-ES"/>
        </w:rPr>
        <w:t>4. Cada convocatòria ha d'indicar si la notificació d’esmena de deficiències, la proposta</w:t>
      </w:r>
      <w:bookmarkStart w:id="0" w:name="_GoBack"/>
      <w:bookmarkEnd w:id="0"/>
      <w:r>
        <w:rPr>
          <w:rFonts w:hint="default"/>
          <w:b w:val="0"/>
          <w:bCs w:val="0"/>
          <w:highlight w:val="none"/>
          <w:lang w:val="es-ES"/>
        </w:rPr>
        <w:t xml:space="preserve"> de resolució, la resolució del procediment de subvencions o qualsevol altre acte de notificació del procediment es notifica individualment o mitjançant el </w:t>
      </w:r>
      <w:r>
        <w:rPr>
          <w:rFonts w:hint="default"/>
          <w:b w:val="0"/>
          <w:bCs w:val="0"/>
          <w:i/>
          <w:iCs/>
          <w:highlight w:val="none"/>
          <w:lang w:val="es-ES"/>
        </w:rPr>
        <w:t>Butlletí Oficial de les Illes Balears</w:t>
      </w:r>
      <w:r>
        <w:rPr>
          <w:rFonts w:hint="default"/>
          <w:b w:val="0"/>
          <w:bCs w:val="0"/>
          <w:i w:val="0"/>
          <w:iCs w:val="0"/>
          <w:highlight w:val="none"/>
          <w:lang w:val="es-ES"/>
        </w:rPr>
        <w:t>, o de qualsevol altra manera que possibiliti la normativa d’aplicació.</w:t>
      </w:r>
    </w:p>
    <w:p w14:paraId="357C85BB">
      <w:pPr>
        <w:numPr>
          <w:ilvl w:val="0"/>
          <w:numId w:val="0"/>
        </w:numPr>
        <w:rPr>
          <w:rFonts w:hint="default"/>
          <w:b w:val="0"/>
          <w:bCs w:val="0"/>
          <w:highlight w:val="none"/>
          <w:lang w:val="es-ES"/>
        </w:rPr>
      </w:pPr>
    </w:p>
    <w:p w14:paraId="1B53555C">
      <w:pPr>
        <w:numPr>
          <w:ilvl w:val="0"/>
          <w:numId w:val="0"/>
        </w:numPr>
        <w:ind w:left="708" w:leftChars="0"/>
        <w:rPr>
          <w:rFonts w:hint="default"/>
          <w:b w:val="0"/>
          <w:bCs w:val="0"/>
          <w:highlight w:val="none"/>
          <w:lang w:val="es-ES"/>
        </w:rPr>
      </w:pPr>
      <w:r>
        <w:rPr>
          <w:rFonts w:hint="default"/>
          <w:b w:val="0"/>
          <w:bCs w:val="0"/>
          <w:highlight w:val="none"/>
          <w:lang w:val="es-ES"/>
        </w:rPr>
        <w:t>No obstant l’anterior, d’acord amb l’article 41.1 de la Llei 39/2015, d'1 d'octubre, del Procediment Administratiu Comú de les Administracions Públiques, i sempre que ho estableixi la respectiva convocatòria, el FOGAIBA podrà, d’igual manera, practicar electrònicament les notificacions a les persones físiques interessades en el procediment que per raó de la seva capacitat econòmica, tècnica, dedicació professional o altres motius, hagi quedat acreditat que tenen accés i disponibilitat dels mitjans electrònics necessaris.</w:t>
      </w:r>
      <w:r>
        <w:rPr>
          <w:rFonts w:hint="default" w:ascii="Noto Sans" w:hAnsi="Noto Sans" w:cs="Noto Sans"/>
          <w:highlight w:val="none"/>
          <w:lang w:val="es-ES"/>
        </w:rPr>
        <w:t>»</w:t>
      </w:r>
    </w:p>
    <w:p w14:paraId="7D3905E2">
      <w:pPr>
        <w:numPr>
          <w:ilvl w:val="0"/>
          <w:numId w:val="0"/>
        </w:numPr>
        <w:rPr>
          <w:rFonts w:hint="default"/>
          <w:b w:val="0"/>
          <w:bCs w:val="0"/>
          <w:lang w:val="es-ES"/>
        </w:rPr>
      </w:pPr>
    </w:p>
    <w:p w14:paraId="0BB9B104">
      <w:pPr>
        <w:numPr>
          <w:ilvl w:val="0"/>
          <w:numId w:val="0"/>
        </w:numPr>
        <w:ind w:leftChars="0"/>
        <w:rPr>
          <w:rFonts w:hint="default"/>
          <w:b w:val="0"/>
          <w:bCs w:val="0"/>
          <w:lang w:val="es-ES"/>
        </w:rPr>
      </w:pPr>
      <w:r>
        <w:rPr>
          <w:rFonts w:hint="default"/>
          <w:b w:val="0"/>
          <w:bCs w:val="0"/>
          <w:lang w:val="es-ES"/>
        </w:rPr>
        <w:t xml:space="preserve">5. L’epígraf </w:t>
      </w:r>
      <w:r>
        <w:rPr>
          <w:rFonts w:hint="default"/>
          <w:b w:val="0"/>
          <w:bCs w:val="0"/>
          <w:i/>
          <w:iCs/>
          <w:lang w:val="es-ES"/>
        </w:rPr>
        <w:t>d)</w:t>
      </w:r>
      <w:r>
        <w:rPr>
          <w:rFonts w:hint="default"/>
          <w:b w:val="0"/>
          <w:bCs w:val="0"/>
          <w:lang w:val="es-ES"/>
        </w:rPr>
        <w:t xml:space="preserve"> de l’article 17 queda modificat de la manera següent:</w:t>
      </w:r>
    </w:p>
    <w:p w14:paraId="5AF0FD2D">
      <w:pPr>
        <w:numPr>
          <w:ilvl w:val="0"/>
          <w:numId w:val="0"/>
        </w:numPr>
        <w:rPr>
          <w:rFonts w:hint="default"/>
          <w:b w:val="0"/>
          <w:bCs w:val="0"/>
          <w:lang w:val="es-ES"/>
        </w:rPr>
      </w:pPr>
    </w:p>
    <w:p w14:paraId="0AA5C5C3">
      <w:pPr>
        <w:numPr>
          <w:ilvl w:val="0"/>
          <w:numId w:val="0"/>
        </w:numPr>
        <w:ind w:left="708" w:leftChars="0"/>
        <w:rPr>
          <w:rFonts w:hint="default"/>
          <w:b w:val="0"/>
          <w:bCs w:val="0"/>
          <w:highlight w:val="cyan"/>
          <w:lang w:val="es-ES"/>
        </w:rPr>
      </w:pPr>
      <w:r>
        <w:rPr>
          <w:rFonts w:hint="default" w:ascii="Noto Sans" w:hAnsi="Noto Sans" w:cs="Noto Sans"/>
          <w:i w:val="0"/>
          <w:iCs w:val="0"/>
          <w:lang w:val="es-ES"/>
        </w:rPr>
        <w:t>«</w:t>
      </w:r>
      <w:r>
        <w:rPr>
          <w:rFonts w:hint="default"/>
          <w:b w:val="0"/>
          <w:bCs w:val="0"/>
          <w:i/>
          <w:iCs/>
          <w:lang w:val="es-ES"/>
        </w:rPr>
        <w:t>d)</w:t>
      </w:r>
      <w:r>
        <w:rPr>
          <w:rFonts w:hint="default"/>
          <w:b w:val="0"/>
          <w:bCs w:val="0"/>
          <w:lang w:val="es-ES"/>
        </w:rPr>
        <w:t xml:space="preserve"> Cal mantenir la destinació de la inversió material objecte de subvenció durant un període mínim dels cinc anys següents al pagament final de l'ajuda a la persona beneficiària, excepte en els casos de força major que preveu l'article 3 del Reglament (UE) 2021/2116 del Parlament Europeu i del Consell, de 2 de desembre de 2021. En el cas de mantenir inversions o llocs de treball creats per microempreses, petites i mitjanes empreses en el sentit de la Recomanació 2003/361/CE de la Comissió, aquest període mínim es pot red</w:t>
      </w:r>
      <w:r>
        <w:rPr>
          <w:rFonts w:hint="default"/>
          <w:b w:val="0"/>
          <w:bCs w:val="0"/>
          <w:highlight w:val="none"/>
          <w:lang w:val="es-ES"/>
        </w:rPr>
        <w:t>uir a tres anys. Tot això sens perjudici del compliment de la resta de condicions que imposi l'article 11 del Reglament delegat (UE) 2022/126 de la Comissió, en aquells casos que sigui d’aplicació d’acord amb la normativa vigent.</w:t>
      </w:r>
      <w:r>
        <w:rPr>
          <w:rFonts w:hint="default" w:ascii="Noto Sans" w:hAnsi="Noto Sans" w:cs="Noto Sans"/>
          <w:highlight w:val="none"/>
          <w:lang w:val="es-ES"/>
        </w:rPr>
        <w:t>»</w:t>
      </w:r>
    </w:p>
    <w:p w14:paraId="22AFBA00">
      <w:pPr>
        <w:numPr>
          <w:ilvl w:val="0"/>
          <w:numId w:val="0"/>
        </w:numPr>
        <w:ind w:left="708" w:leftChars="0"/>
        <w:rPr>
          <w:rFonts w:hint="default"/>
          <w:b w:val="0"/>
          <w:bCs w:val="0"/>
          <w:highlight w:val="cyan"/>
          <w:lang w:val="es-ES"/>
        </w:rPr>
      </w:pPr>
    </w:p>
    <w:p w14:paraId="5CDCF5AD">
      <w:pPr>
        <w:numPr>
          <w:ilvl w:val="0"/>
          <w:numId w:val="0"/>
        </w:numPr>
        <w:rPr>
          <w:rFonts w:hint="default"/>
          <w:b w:val="0"/>
          <w:bCs w:val="0"/>
          <w:lang w:val="es-ES"/>
        </w:rPr>
      </w:pPr>
      <w:r>
        <w:rPr>
          <w:rFonts w:hint="default"/>
          <w:b w:val="0"/>
          <w:bCs w:val="0"/>
          <w:lang w:val="es-ES"/>
        </w:rPr>
        <w:t>6. L’article 23.4 queda modificat de la manera següent:</w:t>
      </w:r>
    </w:p>
    <w:p w14:paraId="48CB7F10">
      <w:pPr>
        <w:numPr>
          <w:ilvl w:val="0"/>
          <w:numId w:val="0"/>
        </w:numPr>
        <w:rPr>
          <w:rFonts w:hint="default"/>
          <w:b w:val="0"/>
          <w:bCs w:val="0"/>
          <w:lang w:val="es-ES"/>
        </w:rPr>
      </w:pPr>
    </w:p>
    <w:p w14:paraId="38689074">
      <w:pPr>
        <w:numPr>
          <w:ilvl w:val="0"/>
          <w:numId w:val="0"/>
        </w:numPr>
        <w:ind w:left="708" w:leftChars="0"/>
        <w:rPr>
          <w:rFonts w:hint="default"/>
          <w:b w:val="0"/>
          <w:bCs w:val="0"/>
          <w:lang w:val="es-ES"/>
        </w:rPr>
      </w:pPr>
      <w:r>
        <w:rPr>
          <w:rFonts w:hint="default" w:ascii="Noto Sans" w:hAnsi="Noto Sans" w:cs="Noto Sans"/>
          <w:lang w:val="es-ES"/>
        </w:rPr>
        <w:t>«</w:t>
      </w:r>
      <w:r>
        <w:rPr>
          <w:rFonts w:hint="default"/>
          <w:b w:val="0"/>
          <w:bCs w:val="0"/>
          <w:lang w:val="es-ES"/>
        </w:rPr>
        <w:t>4. En cas d'incompliment de l'obligació de manteniment de les circumstàncie</w:t>
      </w:r>
      <w:r>
        <w:rPr>
          <w:rFonts w:hint="default"/>
          <w:b w:val="0"/>
          <w:bCs w:val="0"/>
          <w:highlight w:val="none"/>
          <w:lang w:val="es-ES"/>
        </w:rPr>
        <w:t xml:space="preserve">s que preveu l'article 11 del Reglament delegat (UE) 2022/126 de la Comissió, quan sigui aplicable d’acord amb la normativa vigent, el beneficiari o beneficiària ha de reemborsar l'import percebut indegudament en relació amb l'operació, de forma proporcional </w:t>
      </w:r>
      <w:r>
        <w:rPr>
          <w:rFonts w:hint="default"/>
          <w:b w:val="0"/>
          <w:bCs w:val="0"/>
          <w:lang w:val="es-ES"/>
        </w:rPr>
        <w:t>a la durada de l'incompliment.</w:t>
      </w:r>
      <w:r>
        <w:rPr>
          <w:rFonts w:hint="default" w:ascii="Noto Sans" w:hAnsi="Noto Sans" w:cs="Noto Sans"/>
          <w:lang w:val="es-ES"/>
        </w:rPr>
        <w:t>»</w:t>
      </w:r>
    </w:p>
    <w:p w14:paraId="29228BEC">
      <w:pPr>
        <w:rPr>
          <w:rFonts w:hint="default"/>
          <w:b/>
          <w:bCs/>
          <w:lang w:val="es-ES"/>
        </w:rPr>
      </w:pPr>
    </w:p>
    <w:p w14:paraId="0CC36522">
      <w:pPr>
        <w:rPr>
          <w:rFonts w:hint="default"/>
          <w:b/>
          <w:bCs/>
        </w:rPr>
      </w:pPr>
      <w:r>
        <w:rPr>
          <w:rFonts w:hint="default"/>
          <w:b/>
          <w:bCs/>
        </w:rPr>
        <w:t>Disposició final única</w:t>
      </w:r>
    </w:p>
    <w:p w14:paraId="7E1553CB">
      <w:pPr>
        <w:rPr>
          <w:rFonts w:hint="default"/>
          <w:b/>
          <w:bCs/>
        </w:rPr>
      </w:pPr>
      <w:r>
        <w:rPr>
          <w:rFonts w:hint="default"/>
          <w:b/>
          <w:bCs/>
        </w:rPr>
        <w:t>Entrada en vigor</w:t>
      </w:r>
    </w:p>
    <w:p w14:paraId="74877F1E">
      <w:pPr>
        <w:rPr>
          <w:rFonts w:hint="default"/>
        </w:rPr>
      </w:pPr>
    </w:p>
    <w:p w14:paraId="1CF125B2">
      <w:pPr>
        <w:rPr>
          <w:rFonts w:hint="default"/>
        </w:rPr>
      </w:pPr>
      <w:r>
        <w:rPr>
          <w:rFonts w:hint="default"/>
        </w:rPr>
        <w:t xml:space="preserve">Aquesta </w:t>
      </w:r>
      <w:r>
        <w:rPr>
          <w:rFonts w:hint="default"/>
          <w:lang w:val="es-ES"/>
        </w:rPr>
        <w:t>O</w:t>
      </w:r>
      <w:r>
        <w:rPr>
          <w:rFonts w:hint="default"/>
        </w:rPr>
        <w:t>rdre entra en vigor l</w:t>
      </w:r>
      <w:r>
        <w:rPr>
          <w:rFonts w:hint="default"/>
          <w:lang w:val="es-ES"/>
        </w:rPr>
        <w:t>’</w:t>
      </w:r>
      <w:r>
        <w:rPr>
          <w:rFonts w:hint="default"/>
        </w:rPr>
        <w:t>endemà que s</w:t>
      </w:r>
      <w:r>
        <w:rPr>
          <w:rFonts w:hint="default"/>
          <w:lang w:val="es-ES"/>
        </w:rPr>
        <w:t>’</w:t>
      </w:r>
      <w:r>
        <w:rPr>
          <w:rFonts w:hint="default"/>
        </w:rPr>
        <w:t xml:space="preserve">hagi publicat al </w:t>
      </w:r>
      <w:r>
        <w:rPr>
          <w:rFonts w:hint="default"/>
          <w:i/>
          <w:iCs/>
        </w:rPr>
        <w:t>Butlletí Oficial de les Illes Balears</w:t>
      </w:r>
      <w:r>
        <w:rPr>
          <w:rFonts w:hint="default"/>
        </w:rPr>
        <w:t>.</w:t>
      </w:r>
    </w:p>
    <w:p w14:paraId="5EAA30D6">
      <w:pPr>
        <w:rPr>
          <w:rFonts w:hint="default"/>
        </w:rPr>
      </w:pPr>
    </w:p>
    <w:p w14:paraId="590A0014">
      <w:pPr>
        <w:rPr>
          <w:rFonts w:hint="default"/>
        </w:rPr>
      </w:pPr>
    </w:p>
    <w:p w14:paraId="489E0B7E">
      <w:pPr>
        <w:rPr>
          <w:rFonts w:hint="default"/>
          <w:lang w:val="es-ES"/>
        </w:rPr>
      </w:pPr>
      <w:r>
        <w:rPr>
          <w:rFonts w:hint="default"/>
          <w:lang w:val="es-ES"/>
        </w:rPr>
        <w:t>Palma, en la data de la signatura electrònica</w:t>
      </w:r>
    </w:p>
    <w:p w14:paraId="51F83C2D">
      <w:pPr>
        <w:rPr>
          <w:rFonts w:hint="default"/>
          <w:lang w:val="es-ES"/>
        </w:rPr>
      </w:pPr>
    </w:p>
    <w:p w14:paraId="5AC4250C">
      <w:pPr>
        <w:rPr>
          <w:rFonts w:hint="default"/>
          <w:b/>
          <w:bCs/>
          <w:lang w:val="es-ES"/>
        </w:rPr>
      </w:pPr>
      <w:r>
        <w:rPr>
          <w:rFonts w:hint="default"/>
          <w:b/>
          <w:bCs/>
          <w:lang w:val="es-ES"/>
        </w:rPr>
        <w:t>El conseller d’Agricultura, Pesca i Medi Natural</w:t>
      </w:r>
    </w:p>
    <w:p w14:paraId="6FD066D5">
      <w:pPr>
        <w:rPr>
          <w:rFonts w:hint="default"/>
          <w:lang w:val="es-ES"/>
        </w:rPr>
      </w:pPr>
      <w:r>
        <w:rPr>
          <w:rFonts w:hint="default"/>
          <w:b/>
          <w:bCs/>
          <w:lang w:val="es-ES"/>
        </w:rPr>
        <w:t>Joan Simonet Pons</w:t>
      </w:r>
    </w:p>
    <w:sectPr>
      <w:headerReference r:id="rId4" w:type="first"/>
      <w:footerReference r:id="rId6" w:type="first"/>
      <w:headerReference r:id="rId3" w:type="default"/>
      <w:footerReference r:id="rId5" w:type="default"/>
      <w:pgSz w:w="11906" w:h="16838"/>
      <w:pgMar w:top="1516" w:right="851" w:bottom="1701" w:left="2552"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w:panose1 w:val="020B0502040504020204"/>
    <w:charset w:val="00"/>
    <w:family w:val="swiss"/>
    <w:pitch w:val="default"/>
    <w:sig w:usb0="E00002FF" w:usb1="400078FF" w:usb2="00000021" w:usb3="00000000" w:csb0="2000019F" w:csb1="DFD70000"/>
  </w:font>
  <w:font w:name="Tahoma">
    <w:panose1 w:val="020B0604030504040204"/>
    <w:charset w:val="00"/>
    <w:family w:val="swiss"/>
    <w:pitch w:val="default"/>
    <w:sig w:usb0="E1002EFF" w:usb1="C000605B" w:usb2="00000029" w:usb3="00000000" w:csb0="200101FF" w:csb1="20280000"/>
  </w:font>
  <w:font w:name="Bariol Regular">
    <w:panose1 w:val="02000506040000020003"/>
    <w:charset w:val="00"/>
    <w:family w:val="modern"/>
    <w:pitch w:val="default"/>
    <w:sig w:usb0="8000002F" w:usb1="40000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10036" w:type="dxa"/>
      <w:tblInd w:w="-15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40" w:type="dxa"/>
        <w:left w:w="108" w:type="dxa"/>
        <w:bottom w:w="0" w:type="dxa"/>
        <w:right w:w="108" w:type="dxa"/>
      </w:tblCellMar>
    </w:tblPr>
    <w:tblGrid>
      <w:gridCol w:w="2723"/>
      <w:gridCol w:w="4589"/>
      <w:gridCol w:w="2724"/>
    </w:tblGrid>
    <w:tr w14:paraId="3DC43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40" w:type="dxa"/>
          <w:left w:w="108" w:type="dxa"/>
          <w:bottom w:w="0" w:type="dxa"/>
          <w:right w:w="108" w:type="dxa"/>
        </w:tblCellMar>
      </w:tblPrEx>
      <w:trPr>
        <w:trHeight w:val="1140" w:hRule="atLeast"/>
      </w:trPr>
      <w:tc>
        <w:tcPr>
          <w:tcW w:w="1985" w:type="dxa"/>
          <w:tcBorders>
            <w:top w:val="nil"/>
            <w:left w:val="nil"/>
            <w:bottom w:val="nil"/>
            <w:right w:val="nil"/>
          </w:tcBorders>
        </w:tcPr>
        <w:p w14:paraId="01E5AEAC">
          <w:pPr>
            <w:pStyle w:val="14"/>
            <w:rPr>
              <w:rFonts w:ascii="Noto Sans" w:hAnsi="Noto Sans" w:cs="Noto Sans"/>
              <w:sz w:val="16"/>
              <w:szCs w:val="16"/>
              <w:lang w:val="ca-ES"/>
            </w:rPr>
          </w:pPr>
          <w:r>
            <w:rPr>
              <w:rFonts w:ascii="Noto Sans" w:hAnsi="Noto Sans" w:cs="Noto Sans"/>
              <w:sz w:val="16"/>
              <w:szCs w:val="16"/>
            </w:rPr>
            <w:fldChar w:fldCharType="begin"/>
          </w:r>
          <w:r>
            <w:rPr>
              <w:rFonts w:ascii="Noto Sans" w:hAnsi="Noto Sans" w:cs="Noto Sans"/>
              <w:sz w:val="16"/>
              <w:szCs w:val="16"/>
            </w:rPr>
            <w:instrText xml:space="preserve"> HYPERLINK "http://www.caib.es/govern/organigrama/planol.do?coduo=138143&amp;lang=ca" </w:instrText>
          </w:r>
          <w:r>
            <w:rPr>
              <w:rFonts w:ascii="Noto Sans" w:hAnsi="Noto Sans" w:cs="Noto Sans"/>
              <w:sz w:val="16"/>
              <w:szCs w:val="16"/>
            </w:rPr>
            <w:fldChar w:fldCharType="separate"/>
          </w:r>
          <w:r>
            <w:rPr>
              <w:rStyle w:val="4"/>
              <w:rFonts w:ascii="Noto Sans" w:hAnsi="Noto Sans" w:cs="Noto Sans"/>
              <w:sz w:val="16"/>
              <w:szCs w:val="16"/>
            </w:rPr>
            <w:t>C/ d'Eusebi Estada, 145</w:t>
          </w:r>
          <w:r>
            <w:rPr>
              <w:rFonts w:ascii="Noto Sans" w:hAnsi="Noto Sans" w:cs="Noto Sans"/>
              <w:sz w:val="16"/>
              <w:szCs w:val="16"/>
            </w:rPr>
            <w:fldChar w:fldCharType="end"/>
          </w:r>
          <w:r>
            <w:rPr>
              <w:rFonts w:ascii="Noto Sans" w:hAnsi="Noto Sans" w:cs="Noto Sans"/>
              <w:sz w:val="16"/>
              <w:szCs w:val="16"/>
              <w:lang w:val="ca-ES"/>
            </w:rPr>
            <w:t xml:space="preserve"> </w:t>
          </w:r>
        </w:p>
        <w:p w14:paraId="743C356F">
          <w:pPr>
            <w:pStyle w:val="14"/>
            <w:rPr>
              <w:rFonts w:ascii="Noto Sans" w:hAnsi="Noto Sans" w:cs="Noto Sans"/>
              <w:sz w:val="16"/>
              <w:szCs w:val="16"/>
              <w:lang w:val="ca-ES"/>
            </w:rPr>
          </w:pPr>
          <w:r>
            <w:rPr>
              <w:rFonts w:ascii="Noto Sans" w:hAnsi="Noto Sans" w:cs="Noto Sans"/>
              <w:sz w:val="16"/>
              <w:szCs w:val="16"/>
            </w:rPr>
            <w:t>07009 Palma</w:t>
          </w:r>
          <w:r>
            <w:rPr>
              <w:rFonts w:ascii="Noto Sans" w:hAnsi="Noto Sans" w:cs="Noto Sans"/>
              <w:sz w:val="16"/>
              <w:szCs w:val="16"/>
              <w:lang w:val="ca-ES"/>
            </w:rPr>
            <w:t xml:space="preserve"> </w:t>
          </w:r>
        </w:p>
        <w:p w14:paraId="7B5805A2">
          <w:pPr>
            <w:pStyle w:val="14"/>
            <w:rPr>
              <w:rFonts w:ascii="Noto Sans" w:hAnsi="Noto Sans" w:cs="Noto Sans"/>
              <w:sz w:val="16"/>
              <w:szCs w:val="16"/>
              <w:lang w:val="ca-ES"/>
            </w:rPr>
          </w:pPr>
          <w:r>
            <w:rPr>
              <w:rFonts w:ascii="Noto Sans" w:hAnsi="Noto Sans" w:cs="Noto Sans"/>
              <w:sz w:val="16"/>
              <w:szCs w:val="16"/>
              <w:lang w:val="ca-ES"/>
            </w:rPr>
            <w:t>Tel. 971 17 61 00</w:t>
          </w:r>
        </w:p>
        <w:p w14:paraId="6195026B">
          <w:pPr>
            <w:pStyle w:val="14"/>
            <w:jc w:val="both"/>
          </w:pPr>
          <w:r>
            <w:rPr>
              <w:rFonts w:ascii="Noto Sans" w:hAnsi="Noto Sans" w:cs="Noto Sans"/>
              <w:color w:val="C30045"/>
              <w:sz w:val="16"/>
              <w:szCs w:val="16"/>
              <w:lang w:val="ca-ES"/>
            </w:rPr>
            <w:t>http://www.caib.es</w:t>
          </w:r>
        </w:p>
      </w:tc>
      <w:tc>
        <w:tcPr>
          <w:tcW w:w="3345" w:type="dxa"/>
          <w:tcBorders>
            <w:top w:val="nil"/>
            <w:left w:val="nil"/>
            <w:bottom w:val="nil"/>
            <w:right w:val="nil"/>
          </w:tcBorders>
        </w:tcPr>
        <w:p w14:paraId="6AB6E88A">
          <w:pPr>
            <w:pStyle w:val="14"/>
            <w:jc w:val="center"/>
          </w:pPr>
        </w:p>
      </w:tc>
      <w:tc>
        <w:tcPr>
          <w:tcW w:w="1985" w:type="dxa"/>
          <w:tcBorders>
            <w:top w:val="nil"/>
            <w:left w:val="nil"/>
            <w:bottom w:val="nil"/>
            <w:right w:val="nil"/>
          </w:tcBorders>
          <w:vAlign w:val="bottom"/>
        </w:tcPr>
        <w:p w14:paraId="72B21260">
          <w:pPr>
            <w:pStyle w:val="15"/>
          </w:pPr>
          <w:r>
            <w:fldChar w:fldCharType="begin"/>
          </w:r>
          <w:r>
            <w:instrText xml:space="preserve">PAGE   \* MERGEFORMAT</w:instrText>
          </w:r>
          <w:r>
            <w:fldChar w:fldCharType="separate"/>
          </w:r>
          <w:r>
            <w:t>2</w:t>
          </w:r>
          <w:r>
            <w:fldChar w:fldCharType="end"/>
          </w:r>
        </w:p>
      </w:tc>
    </w:tr>
  </w:tbl>
  <w:p w14:paraId="458F1E19">
    <w:pPr>
      <w:pStyle w:val="8"/>
      <w:rPr>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10036" w:type="dxa"/>
      <w:tblInd w:w="-15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40" w:type="dxa"/>
        <w:left w:w="108" w:type="dxa"/>
        <w:bottom w:w="0" w:type="dxa"/>
        <w:right w:w="108" w:type="dxa"/>
      </w:tblCellMar>
    </w:tblPr>
    <w:tblGrid>
      <w:gridCol w:w="2723"/>
      <w:gridCol w:w="4589"/>
      <w:gridCol w:w="2724"/>
    </w:tblGrid>
    <w:tr w14:paraId="61DEE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40" w:type="dxa"/>
          <w:left w:w="108" w:type="dxa"/>
          <w:bottom w:w="0" w:type="dxa"/>
          <w:right w:w="108" w:type="dxa"/>
        </w:tblCellMar>
      </w:tblPrEx>
      <w:trPr>
        <w:trHeight w:val="1140" w:hRule="atLeast"/>
      </w:trPr>
      <w:tc>
        <w:tcPr>
          <w:tcW w:w="1985" w:type="dxa"/>
          <w:tcBorders>
            <w:top w:val="nil"/>
            <w:left w:val="nil"/>
            <w:bottom w:val="nil"/>
            <w:right w:val="nil"/>
          </w:tcBorders>
        </w:tcPr>
        <w:p w14:paraId="37042091">
          <w:pPr>
            <w:pStyle w:val="14"/>
            <w:rPr>
              <w:rFonts w:ascii="Noto Sans" w:hAnsi="Noto Sans" w:cs="Noto Sans"/>
              <w:sz w:val="16"/>
              <w:szCs w:val="16"/>
              <w:lang w:val="ca-ES"/>
            </w:rPr>
          </w:pPr>
          <w:r>
            <w:rPr>
              <w:rFonts w:ascii="Noto Sans" w:hAnsi="Noto Sans" w:cs="Noto Sans"/>
              <w:sz w:val="16"/>
              <w:szCs w:val="16"/>
            </w:rPr>
            <w:fldChar w:fldCharType="begin"/>
          </w:r>
          <w:r>
            <w:rPr>
              <w:rFonts w:ascii="Noto Sans" w:hAnsi="Noto Sans" w:cs="Noto Sans"/>
              <w:sz w:val="16"/>
              <w:szCs w:val="16"/>
            </w:rPr>
            <w:instrText xml:space="preserve"> HYPERLINK "http://www.caib.es/govern/organigrama/planol.do?coduo=138143&amp;lang=ca" </w:instrText>
          </w:r>
          <w:r>
            <w:rPr>
              <w:rFonts w:ascii="Noto Sans" w:hAnsi="Noto Sans" w:cs="Noto Sans"/>
              <w:sz w:val="16"/>
              <w:szCs w:val="16"/>
            </w:rPr>
            <w:fldChar w:fldCharType="separate"/>
          </w:r>
          <w:r>
            <w:rPr>
              <w:rStyle w:val="4"/>
              <w:rFonts w:ascii="Noto Sans" w:hAnsi="Noto Sans" w:cs="Noto Sans"/>
              <w:sz w:val="16"/>
              <w:szCs w:val="16"/>
            </w:rPr>
            <w:t>C/ d'Eusebi Estada, 145</w:t>
          </w:r>
          <w:r>
            <w:rPr>
              <w:rFonts w:ascii="Noto Sans" w:hAnsi="Noto Sans" w:cs="Noto Sans"/>
              <w:sz w:val="16"/>
              <w:szCs w:val="16"/>
            </w:rPr>
            <w:fldChar w:fldCharType="end"/>
          </w:r>
          <w:r>
            <w:rPr>
              <w:rFonts w:ascii="Noto Sans" w:hAnsi="Noto Sans" w:cs="Noto Sans"/>
              <w:sz w:val="16"/>
              <w:szCs w:val="16"/>
              <w:lang w:val="ca-ES"/>
            </w:rPr>
            <w:t xml:space="preserve"> </w:t>
          </w:r>
        </w:p>
        <w:p w14:paraId="0325043E">
          <w:pPr>
            <w:pStyle w:val="14"/>
            <w:rPr>
              <w:rFonts w:ascii="Noto Sans" w:hAnsi="Noto Sans" w:cs="Noto Sans"/>
              <w:sz w:val="16"/>
              <w:szCs w:val="16"/>
              <w:lang w:val="ca-ES"/>
            </w:rPr>
          </w:pPr>
          <w:r>
            <w:rPr>
              <w:rFonts w:ascii="Noto Sans" w:hAnsi="Noto Sans" w:cs="Noto Sans"/>
              <w:sz w:val="16"/>
              <w:szCs w:val="16"/>
            </w:rPr>
            <w:t>07009 Palma</w:t>
          </w:r>
          <w:r>
            <w:rPr>
              <w:rFonts w:ascii="Noto Sans" w:hAnsi="Noto Sans" w:cs="Noto Sans"/>
              <w:sz w:val="16"/>
              <w:szCs w:val="16"/>
              <w:lang w:val="ca-ES"/>
            </w:rPr>
            <w:t xml:space="preserve"> </w:t>
          </w:r>
        </w:p>
        <w:p w14:paraId="1DDF50F6">
          <w:pPr>
            <w:pStyle w:val="14"/>
            <w:rPr>
              <w:rFonts w:ascii="Noto Sans" w:hAnsi="Noto Sans" w:cs="Noto Sans"/>
              <w:sz w:val="16"/>
              <w:szCs w:val="16"/>
              <w:lang w:val="ca-ES"/>
            </w:rPr>
          </w:pPr>
          <w:r>
            <w:rPr>
              <w:rFonts w:ascii="Noto Sans" w:hAnsi="Noto Sans" w:cs="Noto Sans"/>
              <w:sz w:val="16"/>
              <w:szCs w:val="16"/>
              <w:lang w:val="ca-ES"/>
            </w:rPr>
            <w:t>Tel. 971 17 61 00</w:t>
          </w:r>
        </w:p>
        <w:p w14:paraId="7E31396E">
          <w:pPr>
            <w:pStyle w:val="14"/>
            <w:rPr>
              <w:rFonts w:ascii="Noto Sans" w:hAnsi="Noto Sans" w:cs="Noto Sans"/>
              <w:color w:val="004B99"/>
              <w:lang w:val="ca-ES"/>
            </w:rPr>
          </w:pPr>
          <w:r>
            <w:rPr>
              <w:rFonts w:ascii="Noto Sans" w:hAnsi="Noto Sans" w:cs="Noto Sans"/>
              <w:color w:val="C30045"/>
              <w:sz w:val="16"/>
              <w:szCs w:val="16"/>
              <w:lang w:val="ca-ES"/>
            </w:rPr>
            <w:t>http://www.caib.es</w:t>
          </w:r>
        </w:p>
      </w:tc>
      <w:tc>
        <w:tcPr>
          <w:tcW w:w="3345" w:type="dxa"/>
          <w:tcBorders>
            <w:top w:val="nil"/>
            <w:left w:val="nil"/>
            <w:bottom w:val="nil"/>
            <w:right w:val="nil"/>
          </w:tcBorders>
        </w:tcPr>
        <w:p w14:paraId="7750EEC9">
          <w:pPr>
            <w:pStyle w:val="14"/>
            <w:jc w:val="center"/>
            <w:rPr>
              <w:rFonts w:ascii="Noto Sans" w:hAnsi="Noto Sans" w:cs="Noto Sans"/>
              <w:color w:val="004B99"/>
              <w:lang w:val="ca-ES"/>
            </w:rPr>
          </w:pPr>
        </w:p>
      </w:tc>
      <w:tc>
        <w:tcPr>
          <w:tcW w:w="1985" w:type="dxa"/>
          <w:tcBorders>
            <w:top w:val="nil"/>
            <w:left w:val="nil"/>
            <w:bottom w:val="nil"/>
            <w:right w:val="nil"/>
          </w:tcBorders>
        </w:tcPr>
        <w:p w14:paraId="77502155">
          <w:pPr>
            <w:pStyle w:val="14"/>
          </w:pPr>
        </w:p>
      </w:tc>
    </w:tr>
  </w:tbl>
  <w:p w14:paraId="4CC98C5A">
    <w:pPr>
      <w:pStyle w:val="8"/>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0FE1B">
    <w:pPr>
      <w:pStyle w:val="6"/>
    </w:pPr>
    <w:r>
      <w:rPr>
        <w:lang w:val="es-ES" w:eastAsia="es-ES"/>
      </w:rPr>
      <w:drawing>
        <wp:anchor distT="0" distB="0" distL="114300" distR="114300" simplePos="0" relativeHeight="251661312" behindDoc="0" locked="0" layoutInCell="1" allowOverlap="1">
          <wp:simplePos x="0" y="0"/>
          <wp:positionH relativeFrom="margin">
            <wp:posOffset>-1086485</wp:posOffset>
          </wp:positionH>
          <wp:positionV relativeFrom="paragraph">
            <wp:posOffset>-185420</wp:posOffset>
          </wp:positionV>
          <wp:extent cx="560705" cy="792480"/>
          <wp:effectExtent l="0" t="0" r="0" b="0"/>
          <wp:wrapNone/>
          <wp:docPr id="1804524119"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24119" name="Imatg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0705" cy="79248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B5257">
    <w:pPr>
      <w:pStyle w:val="7"/>
      <w:keepNext w:val="0"/>
      <w:keepLines w:val="0"/>
      <w:widowControl/>
      <w:suppressLineNumbers w:val="0"/>
    </w:pPr>
    <w:r>
      <w:drawing>
        <wp:anchor distT="0" distB="0" distL="0" distR="0" simplePos="0" relativeHeight="251663360" behindDoc="0" locked="0" layoutInCell="0" allowOverlap="1">
          <wp:simplePos x="0" y="0"/>
          <wp:positionH relativeFrom="column">
            <wp:posOffset>1100455</wp:posOffset>
          </wp:positionH>
          <wp:positionV relativeFrom="paragraph">
            <wp:posOffset>347980</wp:posOffset>
          </wp:positionV>
          <wp:extent cx="1784350" cy="474345"/>
          <wp:effectExtent l="0" t="0" r="6350" b="1905"/>
          <wp:wrapTight wrapText="bothSides">
            <wp:wrapPolygon>
              <wp:start x="0" y="0"/>
              <wp:lineTo x="0" y="20819"/>
              <wp:lineTo x="21446" y="20819"/>
              <wp:lineTo x="21446"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rcRect l="-40" t="-153" r="-40" b="-153"/>
                  <a:stretch>
                    <a:fillRect/>
                  </a:stretch>
                </pic:blipFill>
                <pic:spPr>
                  <a:xfrm>
                    <a:off x="0" y="0"/>
                    <a:ext cx="1784350" cy="474345"/>
                  </a:xfrm>
                  <a:prstGeom prst="rect">
                    <a:avLst/>
                  </a:prstGeom>
                  <a:noFill/>
                  <a:ln>
                    <a:noFill/>
                  </a:ln>
                </pic:spPr>
              </pic:pic>
            </a:graphicData>
          </a:graphic>
        </wp:anchor>
      </w:drawing>
    </w:r>
    <w:r>
      <w:drawing>
        <wp:anchor distT="0" distB="0" distL="114300" distR="114300" simplePos="0" relativeHeight="251662336" behindDoc="1" locked="0" layoutInCell="1" allowOverlap="1">
          <wp:simplePos x="0" y="0"/>
          <wp:positionH relativeFrom="column">
            <wp:posOffset>-1095375</wp:posOffset>
          </wp:positionH>
          <wp:positionV relativeFrom="paragraph">
            <wp:posOffset>285115</wp:posOffset>
          </wp:positionV>
          <wp:extent cx="2058035" cy="791845"/>
          <wp:effectExtent l="0" t="0" r="18415" b="8255"/>
          <wp:wrapNone/>
          <wp:docPr id="3" name="Imagen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G_256"/>
                  <pic:cNvPicPr>
                    <a:picLocks noChangeAspect="1"/>
                  </pic:cNvPicPr>
                </pic:nvPicPr>
                <pic:blipFill>
                  <a:blip r:embed="rId2"/>
                  <a:stretch>
                    <a:fillRect/>
                  </a:stretch>
                </pic:blipFill>
                <pic:spPr>
                  <a:xfrm>
                    <a:off x="0" y="0"/>
                    <a:ext cx="2058035" cy="791845"/>
                  </a:xfrm>
                  <a:prstGeom prst="rect">
                    <a:avLst/>
                  </a:prstGeom>
                  <a:noFill/>
                  <a:ln w="9525">
                    <a:noFill/>
                  </a:ln>
                </pic:spPr>
              </pic:pic>
            </a:graphicData>
          </a:graphic>
        </wp:anchor>
      </w:drawing>
    </w:r>
  </w:p>
  <w:p w14:paraId="4511C966">
    <w:pPr>
      <w:pStyle w:val="6"/>
      <w:spacing w:after="4640"/>
    </w:pPr>
    <w:r>
      <w:drawing>
        <wp:anchor distT="0" distB="0" distL="0" distR="0" simplePos="0" relativeHeight="251664384" behindDoc="1" locked="0" layoutInCell="0" allowOverlap="1">
          <wp:simplePos x="0" y="0"/>
          <wp:positionH relativeFrom="column">
            <wp:posOffset>3333115</wp:posOffset>
          </wp:positionH>
          <wp:positionV relativeFrom="paragraph">
            <wp:posOffset>-8255</wp:posOffset>
          </wp:positionV>
          <wp:extent cx="2433320" cy="510540"/>
          <wp:effectExtent l="0" t="0" r="5080" b="381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3"/>
                  <a:stretch>
                    <a:fillRect/>
                  </a:stretch>
                </pic:blipFill>
                <pic:spPr>
                  <a:xfrm>
                    <a:off x="0" y="0"/>
                    <a:ext cx="2433320" cy="510540"/>
                  </a:xfrm>
                  <a:prstGeom prst="rect">
                    <a:avLst/>
                  </a:prstGeom>
                  <a:noFill/>
                  <a:ln>
                    <a:noFill/>
                  </a:ln>
                </pic:spPr>
              </pic:pic>
            </a:graphicData>
          </a:graphic>
        </wp:anchor>
      </w:drawing>
    </w:r>
    <w:r>
      <w:rPr>
        <w:lang w:val="es-ES" w:eastAsia="es-ES"/>
      </w:rPr>
      <mc:AlternateContent>
        <mc:Choice Requires="wpg">
          <w:drawing>
            <wp:anchor distT="0" distB="0" distL="114300" distR="114300" simplePos="0" relativeHeight="251660288" behindDoc="0" locked="0" layoutInCell="1" allowOverlap="1">
              <wp:simplePos x="0" y="0"/>
              <wp:positionH relativeFrom="column">
                <wp:posOffset>-1349375</wp:posOffset>
              </wp:positionH>
              <wp:positionV relativeFrom="paragraph">
                <wp:posOffset>10372090</wp:posOffset>
              </wp:positionV>
              <wp:extent cx="3587750" cy="2145665"/>
              <wp:effectExtent l="0" t="0" r="31750" b="26035"/>
              <wp:wrapNone/>
              <wp:docPr id="408274521" name="Agrupa 1"/>
              <wp:cNvGraphicFramePr/>
              <a:graphic xmlns:a="http://schemas.openxmlformats.org/drawingml/2006/main">
                <a:graphicData uri="http://schemas.microsoft.com/office/word/2010/wordprocessingGroup">
                  <wpg:wgp>
                    <wpg:cNvGrpSpPr/>
                    <wpg:grpSpPr>
                      <a:xfrm>
                        <a:off x="0" y="0"/>
                        <a:ext cx="3587750" cy="2145665"/>
                        <a:chOff x="0" y="0"/>
                        <a:chExt cx="3587750" cy="2145933"/>
                      </a:xfrm>
                    </wpg:grpSpPr>
                    <wps:wsp>
                      <wps:cNvPr id="1789333566" name="Connector recte 2"/>
                      <wps:cNvCnPr/>
                      <wps:spPr>
                        <a:xfrm flipH="1">
                          <a:off x="361950" y="0"/>
                          <a:ext cx="26427" cy="21459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79610962" name="Connector recte 4"/>
                      <wps:cNvCnPr/>
                      <wps:spPr>
                        <a:xfrm flipV="1">
                          <a:off x="9525" y="341328"/>
                          <a:ext cx="3578225" cy="101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82153154" name="Connector recte 4"/>
                      <wps:cNvCnPr/>
                      <wps:spPr>
                        <a:xfrm flipV="1">
                          <a:off x="0" y="819150"/>
                          <a:ext cx="3578317" cy="10571"/>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Agrupa 1" o:spid="_x0000_s1026" o:spt="203" style="position:absolute;left:0pt;margin-left:-106.25pt;margin-top:816.7pt;height:168.95pt;width:282.5pt;z-index:251660288;mso-width-relative:page;mso-height-relative:page;" coordsize="3587750,2145933" o:gfxdata="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JRI7+3AAAAA4BAAAP&#10;AAAAAAAAAAEAIAAAACIAAABkcnMvZG93bnJldi54bWxQSwECFAAUAAAACACHTuJASpWz2L8CAABM&#10;CQAADgAAAAAAAAABACAAAAArAQAAZHJzL2Uyb0RvYy54bWxQSwUGAAAAAAYABgBZAQAAXAYAAAAA&#10;">
              <o:lock v:ext="edit" aspectratio="f"/>
              <v:line id="Connector recte 2" o:spid="_x0000_s1026" o:spt="20" style="position:absolute;left:361950;top:0;flip:x;height:2145933;width:26427;" filled="f" stroked="t" coordsize="21600,21600" o:gfxdata="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CQ&#10;KtvCAAAA4wAAAA8AAAAAAAAAAQAgAAAAIgAAAGRycy9kb3ducmV2LnhtbFBLAQIUABQAAAAIAIdO&#10;4kAzLwWeOwAAADkAAAAQAAAAAAAAAAEAIAAAABEBAABkcnMvc2hhcGV4bWwueG1sUEsFBgAAAAAG&#10;AAYAWwEAALsDAAAAAA==&#10;">
                <v:fill on="f" focussize="0,0"/>
                <v:stroke color="#4A7EBB [3204]" joinstyle="round"/>
                <v:imagedata o:title=""/>
                <o:lock v:ext="edit" aspectratio="f"/>
              </v:line>
              <v:line id="Connector recte 4" o:spid="_x0000_s1026" o:spt="20" style="position:absolute;left:9525;top:341328;flip:y;height:10160;width:3578225;" filled="f" stroked="t" coordsize="21600,21600" o:gfxdata="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qJ8yeMQAAADiAAAADwAAAAAAAAABACAAAAAiAAAAZHJzL2Rvd25yZXYueG1sUEsBAhQAFAAAAAgA&#10;h07iQDMvBZ47AAAAOQAAABAAAAAAAAAAAQAgAAAAEwEAAGRycy9zaGFwZXhtbC54bWxQSwUGAAAA&#10;AAYABgBbAQAAvQMAAAAA&#10;">
                <v:fill on="f" focussize="0,0"/>
                <v:stroke color="#4A7EBB [3204]" joinstyle="round"/>
                <v:imagedata o:title=""/>
                <o:lock v:ext="edit" aspectratio="f"/>
              </v:line>
              <v:line id="Connector recte 4" o:spid="_x0000_s1026" o:spt="20" style="position:absolute;left:0;top:819150;flip:y;height:10571;width:3578317;" filled="f" stroked="t" coordsize="21600,21600" o:gfxdata="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YX&#10;kpXCAAAA4wAAAA8AAAAAAAAAAQAgAAAAIgAAAGRycy9kb3ducmV2LnhtbFBLAQIUABQAAAAIAIdO&#10;4kAzLwWeOwAAADkAAAAQAAAAAAAAAAEAIAAAABEBAABkcnMvc2hhcGV4bWwueG1sUEsFBgAAAAAG&#10;AAYAWwEAALsDAAAAAA==&#10;">
                <v:fill on="f" focussize="0,0"/>
                <v:stroke color="#4A7EBB [3204]" joinstyle="round"/>
                <v:imagedata o:title=""/>
                <o:lock v:ext="edit" aspectratio="f"/>
              </v:line>
            </v:group>
          </w:pict>
        </mc:Fallback>
      </mc:AlternateContent>
    </w:r>
    <w:r>
      <w:rPr>
        <w:lang w:val="es-ES" w:eastAsia="es-E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ge">
                <wp:posOffset>1386205</wp:posOffset>
              </wp:positionV>
              <wp:extent cx="4024630" cy="1835785"/>
              <wp:effectExtent l="1905" t="0" r="2540" b="0"/>
              <wp:wrapNone/>
              <wp:docPr id="1" name="Cuadro de texto 9"/>
              <wp:cNvGraphicFramePr/>
              <a:graphic xmlns:a="http://schemas.openxmlformats.org/drawingml/2006/main">
                <a:graphicData uri="http://schemas.microsoft.com/office/word/2010/wordprocessingShape">
                  <wps:wsp>
                    <wps:cNvSpPr txBox="1">
                      <a:spLocks noChangeArrowheads="1"/>
                    </wps:cNvSpPr>
                    <wps:spPr bwMode="auto">
                      <a:xfrm>
                        <a:off x="0" y="0"/>
                        <a:ext cx="4024630" cy="1835785"/>
                      </a:xfrm>
                      <a:prstGeom prst="rect">
                        <a:avLst/>
                      </a:prstGeom>
                      <a:solidFill>
                        <a:srgbClr val="FFFFFF"/>
                      </a:solidFill>
                      <a:ln>
                        <a:noFill/>
                      </a:ln>
                    </wps:spPr>
                    <wps:txbx>
                      <w:txbxContent>
                        <w:p w14:paraId="6287A868">
                          <w:pPr>
                            <w:ind w:left="2835"/>
                            <w:rPr>
                              <w:sz w:val="16"/>
                              <w:szCs w:val="16"/>
                            </w:rPr>
                          </w:pPr>
                        </w:p>
                        <w:p w14:paraId="4D3BBC0D">
                          <w:pPr>
                            <w:ind w:left="2835"/>
                            <w:rPr>
                              <w:sz w:val="16"/>
                              <w:szCs w:val="16"/>
                            </w:rPr>
                          </w:pPr>
                        </w:p>
                        <w:p w14:paraId="4C4FD1C2">
                          <w:pPr>
                            <w:ind w:left="2835"/>
                            <w:rPr>
                              <w:sz w:val="16"/>
                              <w:szCs w:val="16"/>
                            </w:rPr>
                          </w:pPr>
                        </w:p>
                        <w:p w14:paraId="22E90C92">
                          <w:pPr>
                            <w:ind w:left="2835"/>
                            <w:rPr>
                              <w:sz w:val="16"/>
                              <w:szCs w:val="16"/>
                            </w:rPr>
                          </w:pPr>
                        </w:p>
                        <w:p w14:paraId="7A81DF50">
                          <w:pPr>
                            <w:ind w:left="2835"/>
                            <w:jc w:val="left"/>
                            <w:rPr>
                              <w:rFonts w:hint="default"/>
                              <w:sz w:val="16"/>
                              <w:szCs w:val="16"/>
                              <w:lang w:val="es-ES"/>
                            </w:rPr>
                          </w:pPr>
                          <w:r>
                            <w:rPr>
                              <w:rFonts w:hint="default"/>
                              <w:sz w:val="16"/>
                              <w:szCs w:val="16"/>
                              <w:lang w:val="es-ES"/>
                            </w:rPr>
                            <w:t>REG 1/25 - EG</w:t>
                          </w:r>
                        </w:p>
                        <w:p w14:paraId="2C10F76B">
                          <w:pPr>
                            <w:rPr>
                              <w:sz w:val="16"/>
                              <w:szCs w:val="16"/>
                            </w:rPr>
                          </w:pPr>
                        </w:p>
                      </w:txbxContent>
                    </wps:txbx>
                    <wps:bodyPr rot="0" vert="horz" wrap="square" lIns="91440" tIns="45720" rIns="91440" bIns="45720" anchor="t" anchorCtr="0" upright="1">
                      <a:noAutofit/>
                    </wps:bodyPr>
                  </wps:wsp>
                </a:graphicData>
              </a:graphic>
            </wp:anchor>
          </w:drawing>
        </mc:Choice>
        <mc:Fallback>
          <w:pict>
            <v:shape id="Cuadro de texto 9" o:spid="_x0000_s1026" o:spt="202" type="#_x0000_t202" style="position:absolute;left:0pt;margin-top:109.15pt;height:144.55pt;width:316.9pt;mso-position-horizontal:right;mso-position-horizontal-relative:margin;mso-position-vertical-relative:page;z-index:251659264;mso-width-relative:page;mso-height-relative:page;" fillcolor="#FFFFFF" filled="t" stroked="f" coordsize="21600,21600" o:gfxdata="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OngNdcA&#10;AAAIAQAADwAAAAAAAAABACAAAAAiAAAAZHJzL2Rvd25yZXYueG1sUEsBAhQAFAAAAAgAh07iQBQI&#10;kbggAgAARQQAAA4AAAAAAAAAAQAgAAAAJgEAAGRycy9lMm9Eb2MueG1sUEsFBgAAAAAGAAYAWQEA&#10;ALgFAAAAAA==&#10;">
              <v:fill on="t" focussize="0,0"/>
              <v:stroke on="f"/>
              <v:imagedata o:title=""/>
              <o:lock v:ext="edit" aspectratio="f"/>
              <v:textbox>
                <w:txbxContent>
                  <w:p w14:paraId="6287A868">
                    <w:pPr>
                      <w:ind w:left="2835"/>
                      <w:rPr>
                        <w:sz w:val="16"/>
                        <w:szCs w:val="16"/>
                      </w:rPr>
                    </w:pPr>
                  </w:p>
                  <w:p w14:paraId="4D3BBC0D">
                    <w:pPr>
                      <w:ind w:left="2835"/>
                      <w:rPr>
                        <w:sz w:val="16"/>
                        <w:szCs w:val="16"/>
                      </w:rPr>
                    </w:pPr>
                  </w:p>
                  <w:p w14:paraId="4C4FD1C2">
                    <w:pPr>
                      <w:ind w:left="2835"/>
                      <w:rPr>
                        <w:sz w:val="16"/>
                        <w:szCs w:val="16"/>
                      </w:rPr>
                    </w:pPr>
                  </w:p>
                  <w:p w14:paraId="22E90C92">
                    <w:pPr>
                      <w:ind w:left="2835"/>
                      <w:rPr>
                        <w:sz w:val="16"/>
                        <w:szCs w:val="16"/>
                      </w:rPr>
                    </w:pPr>
                  </w:p>
                  <w:p w14:paraId="7A81DF50">
                    <w:pPr>
                      <w:ind w:left="2835"/>
                      <w:jc w:val="left"/>
                      <w:rPr>
                        <w:rFonts w:hint="default"/>
                        <w:sz w:val="16"/>
                        <w:szCs w:val="16"/>
                        <w:lang w:val="es-ES"/>
                      </w:rPr>
                    </w:pPr>
                    <w:r>
                      <w:rPr>
                        <w:rFonts w:hint="default"/>
                        <w:sz w:val="16"/>
                        <w:szCs w:val="16"/>
                        <w:lang w:val="es-ES"/>
                      </w:rPr>
                      <w:t>REG 1/25 - EG</w:t>
                    </w:r>
                  </w:p>
                  <w:p w14:paraId="2C10F76B">
                    <w:pPr>
                      <w:rPr>
                        <w:sz w:val="16"/>
                        <w:szCs w:val="1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F839A"/>
    <w:multiLevelType w:val="singleLevel"/>
    <w:tmpl w:val="313F839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32A"/>
    <w:rsid w:val="000156CD"/>
    <w:rsid w:val="00023205"/>
    <w:rsid w:val="000237A9"/>
    <w:rsid w:val="00031C01"/>
    <w:rsid w:val="00034A40"/>
    <w:rsid w:val="00050D54"/>
    <w:rsid w:val="00074F0B"/>
    <w:rsid w:val="000950E0"/>
    <w:rsid w:val="000A7669"/>
    <w:rsid w:val="000B1813"/>
    <w:rsid w:val="000B184C"/>
    <w:rsid w:val="000D04E3"/>
    <w:rsid w:val="000D7FC3"/>
    <w:rsid w:val="0010508B"/>
    <w:rsid w:val="00110FE4"/>
    <w:rsid w:val="00114152"/>
    <w:rsid w:val="001266B7"/>
    <w:rsid w:val="001352A3"/>
    <w:rsid w:val="00166737"/>
    <w:rsid w:val="00182593"/>
    <w:rsid w:val="001B4283"/>
    <w:rsid w:val="001C76E5"/>
    <w:rsid w:val="001D2A3E"/>
    <w:rsid w:val="001D3D05"/>
    <w:rsid w:val="001E5FD1"/>
    <w:rsid w:val="0020001D"/>
    <w:rsid w:val="00222923"/>
    <w:rsid w:val="002266B1"/>
    <w:rsid w:val="002502C7"/>
    <w:rsid w:val="0025130E"/>
    <w:rsid w:val="0025741D"/>
    <w:rsid w:val="002635A5"/>
    <w:rsid w:val="00274B69"/>
    <w:rsid w:val="002C075E"/>
    <w:rsid w:val="002E219A"/>
    <w:rsid w:val="002F1FA3"/>
    <w:rsid w:val="002F3D33"/>
    <w:rsid w:val="00307F7A"/>
    <w:rsid w:val="00322246"/>
    <w:rsid w:val="00323D33"/>
    <w:rsid w:val="00331224"/>
    <w:rsid w:val="003403A6"/>
    <w:rsid w:val="003419D5"/>
    <w:rsid w:val="00373894"/>
    <w:rsid w:val="00384DCA"/>
    <w:rsid w:val="00392DD5"/>
    <w:rsid w:val="003C228C"/>
    <w:rsid w:val="003D785A"/>
    <w:rsid w:val="003F6178"/>
    <w:rsid w:val="003F6E57"/>
    <w:rsid w:val="00466CDE"/>
    <w:rsid w:val="00485578"/>
    <w:rsid w:val="004C6BE5"/>
    <w:rsid w:val="004D2A64"/>
    <w:rsid w:val="0050440F"/>
    <w:rsid w:val="005622F6"/>
    <w:rsid w:val="00574AA6"/>
    <w:rsid w:val="005E3236"/>
    <w:rsid w:val="006013FF"/>
    <w:rsid w:val="00635971"/>
    <w:rsid w:val="00651C37"/>
    <w:rsid w:val="006776B5"/>
    <w:rsid w:val="006B4CEB"/>
    <w:rsid w:val="006C5013"/>
    <w:rsid w:val="006D4415"/>
    <w:rsid w:val="006F0D2E"/>
    <w:rsid w:val="007011B5"/>
    <w:rsid w:val="0072100A"/>
    <w:rsid w:val="007265EF"/>
    <w:rsid w:val="00750C99"/>
    <w:rsid w:val="007567B3"/>
    <w:rsid w:val="00760C2F"/>
    <w:rsid w:val="00762CDE"/>
    <w:rsid w:val="00772EEB"/>
    <w:rsid w:val="00774D29"/>
    <w:rsid w:val="007C0AC1"/>
    <w:rsid w:val="007D487C"/>
    <w:rsid w:val="007F6F4F"/>
    <w:rsid w:val="0081333C"/>
    <w:rsid w:val="0083573F"/>
    <w:rsid w:val="008413FC"/>
    <w:rsid w:val="00842E51"/>
    <w:rsid w:val="008442CE"/>
    <w:rsid w:val="00872B70"/>
    <w:rsid w:val="00875280"/>
    <w:rsid w:val="00895D5B"/>
    <w:rsid w:val="008A0BCD"/>
    <w:rsid w:val="008A3278"/>
    <w:rsid w:val="008A4F91"/>
    <w:rsid w:val="008A636B"/>
    <w:rsid w:val="008B7970"/>
    <w:rsid w:val="008D5C65"/>
    <w:rsid w:val="008E248C"/>
    <w:rsid w:val="008E5F14"/>
    <w:rsid w:val="008F3D44"/>
    <w:rsid w:val="009A0E69"/>
    <w:rsid w:val="009A601A"/>
    <w:rsid w:val="009D0416"/>
    <w:rsid w:val="009F36D4"/>
    <w:rsid w:val="00A24F99"/>
    <w:rsid w:val="00A26388"/>
    <w:rsid w:val="00A31C73"/>
    <w:rsid w:val="00A32066"/>
    <w:rsid w:val="00A45203"/>
    <w:rsid w:val="00A503A0"/>
    <w:rsid w:val="00A70754"/>
    <w:rsid w:val="00A90ED1"/>
    <w:rsid w:val="00A9443C"/>
    <w:rsid w:val="00A94FEA"/>
    <w:rsid w:val="00AA2E2E"/>
    <w:rsid w:val="00AF6E68"/>
    <w:rsid w:val="00B049DA"/>
    <w:rsid w:val="00B2463B"/>
    <w:rsid w:val="00B4748B"/>
    <w:rsid w:val="00B522DD"/>
    <w:rsid w:val="00B611B6"/>
    <w:rsid w:val="00B615C5"/>
    <w:rsid w:val="00B70D3B"/>
    <w:rsid w:val="00B86DE2"/>
    <w:rsid w:val="00B91E93"/>
    <w:rsid w:val="00B934F0"/>
    <w:rsid w:val="00B96B23"/>
    <w:rsid w:val="00BA5DF3"/>
    <w:rsid w:val="00BC4258"/>
    <w:rsid w:val="00BF3976"/>
    <w:rsid w:val="00C004FA"/>
    <w:rsid w:val="00C10943"/>
    <w:rsid w:val="00C168B0"/>
    <w:rsid w:val="00C24228"/>
    <w:rsid w:val="00C6481A"/>
    <w:rsid w:val="00CF5372"/>
    <w:rsid w:val="00D21F57"/>
    <w:rsid w:val="00D40806"/>
    <w:rsid w:val="00D616E9"/>
    <w:rsid w:val="00D76585"/>
    <w:rsid w:val="00D911CC"/>
    <w:rsid w:val="00DA5056"/>
    <w:rsid w:val="00DD7696"/>
    <w:rsid w:val="00DF0E12"/>
    <w:rsid w:val="00DF1C34"/>
    <w:rsid w:val="00DF2AFF"/>
    <w:rsid w:val="00DF79D5"/>
    <w:rsid w:val="00DF7C2E"/>
    <w:rsid w:val="00E16ABC"/>
    <w:rsid w:val="00E710FA"/>
    <w:rsid w:val="00E922C1"/>
    <w:rsid w:val="00EA0467"/>
    <w:rsid w:val="00EC621C"/>
    <w:rsid w:val="00EE3B34"/>
    <w:rsid w:val="00EE77C0"/>
    <w:rsid w:val="00EE7C2F"/>
    <w:rsid w:val="00EF3F93"/>
    <w:rsid w:val="00EF4E56"/>
    <w:rsid w:val="00F1333D"/>
    <w:rsid w:val="00F702BF"/>
    <w:rsid w:val="00F82EC6"/>
    <w:rsid w:val="00F8738C"/>
    <w:rsid w:val="00FE6B74"/>
    <w:rsid w:val="00FF6974"/>
    <w:rsid w:val="01D66B26"/>
    <w:rsid w:val="03FA7FB9"/>
    <w:rsid w:val="05BF5727"/>
    <w:rsid w:val="06763DD1"/>
    <w:rsid w:val="069D1BD8"/>
    <w:rsid w:val="06C958D6"/>
    <w:rsid w:val="06D22892"/>
    <w:rsid w:val="08FC37A8"/>
    <w:rsid w:val="09455BF1"/>
    <w:rsid w:val="0A9272E3"/>
    <w:rsid w:val="0AF142C5"/>
    <w:rsid w:val="0D5A0EB4"/>
    <w:rsid w:val="0DF41772"/>
    <w:rsid w:val="0E2A2661"/>
    <w:rsid w:val="0E967B22"/>
    <w:rsid w:val="103551A4"/>
    <w:rsid w:val="12B85960"/>
    <w:rsid w:val="134B2893"/>
    <w:rsid w:val="16EA1425"/>
    <w:rsid w:val="170D06E0"/>
    <w:rsid w:val="18136FAF"/>
    <w:rsid w:val="18194096"/>
    <w:rsid w:val="185C1EE0"/>
    <w:rsid w:val="199A0D0F"/>
    <w:rsid w:val="1B302BD7"/>
    <w:rsid w:val="1C643B14"/>
    <w:rsid w:val="1CB86463"/>
    <w:rsid w:val="1E184080"/>
    <w:rsid w:val="1F62515F"/>
    <w:rsid w:val="20445BF1"/>
    <w:rsid w:val="20715E87"/>
    <w:rsid w:val="20B106DC"/>
    <w:rsid w:val="217008EA"/>
    <w:rsid w:val="229451CA"/>
    <w:rsid w:val="22A83E6A"/>
    <w:rsid w:val="22F81AA8"/>
    <w:rsid w:val="23D824EB"/>
    <w:rsid w:val="2595704A"/>
    <w:rsid w:val="29544212"/>
    <w:rsid w:val="29BA4C02"/>
    <w:rsid w:val="29CB4D27"/>
    <w:rsid w:val="2C923B80"/>
    <w:rsid w:val="2DDD5386"/>
    <w:rsid w:val="2DFA51E2"/>
    <w:rsid w:val="326A59F4"/>
    <w:rsid w:val="33AD2EB0"/>
    <w:rsid w:val="34CF5B88"/>
    <w:rsid w:val="352A7C13"/>
    <w:rsid w:val="36A940B1"/>
    <w:rsid w:val="3736054C"/>
    <w:rsid w:val="37BF2199"/>
    <w:rsid w:val="39363667"/>
    <w:rsid w:val="39E00C26"/>
    <w:rsid w:val="3B363183"/>
    <w:rsid w:val="3B584A0B"/>
    <w:rsid w:val="3E965EAF"/>
    <w:rsid w:val="43257338"/>
    <w:rsid w:val="43DE1BE3"/>
    <w:rsid w:val="46960044"/>
    <w:rsid w:val="477A6F52"/>
    <w:rsid w:val="479853D0"/>
    <w:rsid w:val="47F16027"/>
    <w:rsid w:val="48020C8B"/>
    <w:rsid w:val="49124A19"/>
    <w:rsid w:val="499A63AE"/>
    <w:rsid w:val="4AAF6629"/>
    <w:rsid w:val="4B2E1D92"/>
    <w:rsid w:val="4B8200F2"/>
    <w:rsid w:val="4C6642FE"/>
    <w:rsid w:val="4CCC358C"/>
    <w:rsid w:val="4E7D01EF"/>
    <w:rsid w:val="515F5DA2"/>
    <w:rsid w:val="517A569D"/>
    <w:rsid w:val="524F5CF2"/>
    <w:rsid w:val="52F10383"/>
    <w:rsid w:val="530C0A67"/>
    <w:rsid w:val="552072B9"/>
    <w:rsid w:val="552529F4"/>
    <w:rsid w:val="55D123D3"/>
    <w:rsid w:val="57D07ED9"/>
    <w:rsid w:val="584A5330"/>
    <w:rsid w:val="58DB42B9"/>
    <w:rsid w:val="59A10AFD"/>
    <w:rsid w:val="5A516E51"/>
    <w:rsid w:val="5C77354A"/>
    <w:rsid w:val="5CEC6585"/>
    <w:rsid w:val="5E457637"/>
    <w:rsid w:val="5EB013F0"/>
    <w:rsid w:val="5F432E56"/>
    <w:rsid w:val="5FDF3334"/>
    <w:rsid w:val="620B3788"/>
    <w:rsid w:val="63AC20AE"/>
    <w:rsid w:val="63F4318A"/>
    <w:rsid w:val="6570561C"/>
    <w:rsid w:val="65FA25DA"/>
    <w:rsid w:val="67431300"/>
    <w:rsid w:val="676818B7"/>
    <w:rsid w:val="67DA0CD3"/>
    <w:rsid w:val="6C061936"/>
    <w:rsid w:val="6D3B0927"/>
    <w:rsid w:val="6E6649EB"/>
    <w:rsid w:val="6EEC4725"/>
    <w:rsid w:val="701A068E"/>
    <w:rsid w:val="7088492D"/>
    <w:rsid w:val="71F10B30"/>
    <w:rsid w:val="72A076FD"/>
    <w:rsid w:val="7405688C"/>
    <w:rsid w:val="74FC7E98"/>
    <w:rsid w:val="75833989"/>
    <w:rsid w:val="75913D16"/>
    <w:rsid w:val="75CB0021"/>
    <w:rsid w:val="76592B3A"/>
    <w:rsid w:val="78CC030B"/>
    <w:rsid w:val="78CE313C"/>
    <w:rsid w:val="7A8E6E2F"/>
    <w:rsid w:val="7C825446"/>
    <w:rsid w:val="7D5D6B3A"/>
    <w:rsid w:val="7DFC793D"/>
    <w:rsid w:val="7ECC6838"/>
    <w:rsid w:val="7F38214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rPr>
      <w:rFonts w:ascii="Noto Sans" w:hAnsi="Noto Sans" w:eastAsia="Calibri" w:cs="Times New Roman"/>
      <w:sz w:val="22"/>
      <w:szCs w:val="22"/>
      <w:lang w:val="ca-E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Balloon Text"/>
    <w:basedOn w:val="1"/>
    <w:link w:val="13"/>
    <w:semiHidden/>
    <w:unhideWhenUsed/>
    <w:qFormat/>
    <w:uiPriority w:val="99"/>
    <w:rPr>
      <w:rFonts w:ascii="Tahoma" w:hAnsi="Tahoma" w:cs="Tahoma"/>
      <w:sz w:val="16"/>
      <w:szCs w:val="16"/>
    </w:rPr>
  </w:style>
  <w:style w:type="paragraph" w:styleId="6">
    <w:name w:val="header"/>
    <w:basedOn w:val="1"/>
    <w:link w:val="11"/>
    <w:unhideWhenUsed/>
    <w:qFormat/>
    <w:uiPriority w:val="99"/>
    <w:pPr>
      <w:tabs>
        <w:tab w:val="center" w:pos="4252"/>
        <w:tab w:val="right" w:pos="8504"/>
      </w:tabs>
    </w:pPr>
  </w:style>
  <w:style w:type="paragraph" w:styleId="7">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
    <w:name w:val="footer"/>
    <w:basedOn w:val="1"/>
    <w:link w:val="12"/>
    <w:unhideWhenUsed/>
    <w:qFormat/>
    <w:uiPriority w:val="99"/>
    <w:pPr>
      <w:tabs>
        <w:tab w:val="center" w:pos="4252"/>
        <w:tab w:val="right" w:pos="8504"/>
      </w:tabs>
    </w:pPr>
  </w:style>
  <w:style w:type="paragraph" w:styleId="9">
    <w:name w:val="Body Text"/>
    <w:basedOn w:val="1"/>
    <w:qFormat/>
    <w:uiPriority w:val="0"/>
    <w:pPr>
      <w:jc w:val="both"/>
    </w:pPr>
    <w:rPr>
      <w:rFonts w:ascii="Times New Roman" w:hAnsi="Times New Roman" w:eastAsia="Times New Roman" w:cs="Times New Roman"/>
      <w:kern w:val="2"/>
      <w:sz w:val="24"/>
      <w:szCs w:val="20"/>
    </w:rPr>
  </w:style>
  <w:style w:type="table" w:styleId="10">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Capçalera Car"/>
    <w:basedOn w:val="2"/>
    <w:link w:val="6"/>
    <w:qFormat/>
    <w:uiPriority w:val="99"/>
    <w:rPr>
      <w:rFonts w:ascii="Noto Sans" w:hAnsi="Noto Sans"/>
    </w:rPr>
  </w:style>
  <w:style w:type="character" w:customStyle="1" w:styleId="12">
    <w:name w:val="Peu Car"/>
    <w:basedOn w:val="2"/>
    <w:link w:val="8"/>
    <w:qFormat/>
    <w:uiPriority w:val="99"/>
    <w:rPr>
      <w:rFonts w:ascii="Noto Sans" w:hAnsi="Noto Sans"/>
    </w:rPr>
  </w:style>
  <w:style w:type="character" w:customStyle="1" w:styleId="13">
    <w:name w:val="Text de globus Car"/>
    <w:basedOn w:val="2"/>
    <w:link w:val="5"/>
    <w:semiHidden/>
    <w:qFormat/>
    <w:uiPriority w:val="99"/>
    <w:rPr>
      <w:rFonts w:ascii="Tahoma" w:hAnsi="Tahoma" w:cs="Tahoma"/>
      <w:sz w:val="16"/>
      <w:szCs w:val="16"/>
    </w:rPr>
  </w:style>
  <w:style w:type="paragraph" w:customStyle="1" w:styleId="14">
    <w:name w:val="Peu de pàgina"/>
    <w:basedOn w:val="1"/>
    <w:qFormat/>
    <w:uiPriority w:val="0"/>
    <w:pPr>
      <w:widowControl w:val="0"/>
      <w:autoSpaceDE w:val="0"/>
      <w:autoSpaceDN w:val="0"/>
      <w:adjustRightInd w:val="0"/>
      <w:spacing w:line="220" w:lineRule="atLeast"/>
    </w:pPr>
    <w:rPr>
      <w:rFonts w:ascii="Calibri" w:hAnsi="Calibri" w:eastAsia="Times New Roman" w:cs="Bariol Regular"/>
      <w:sz w:val="15"/>
      <w:szCs w:val="15"/>
      <w:lang w:val="es-ES" w:eastAsia="es-ES"/>
    </w:rPr>
  </w:style>
  <w:style w:type="paragraph" w:customStyle="1" w:styleId="15">
    <w:name w:val="Número de pàgina1"/>
    <w:basedOn w:val="14"/>
    <w:qFormat/>
    <w:uiPriority w:val="0"/>
    <w:pPr>
      <w:jc w:val="righ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PLANTILLA AGRICULTURA COLOR.dotx</Template>
  <Pages>6</Pages>
  <Words>0</Words>
  <Characters>0</Characters>
  <Lines>0</Lines>
  <Paragraphs>0</Paragraphs>
  <TotalTime>16</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2025-01-09T13:51:00Z</dcterms:created>
  <dc:creator>Eduardo FOGAIBA</dc:creator>
  <cp:lastModifiedBy>e78222041f</cp:lastModifiedBy>
  <dcterms:modified xsi:type="dcterms:W3CDTF">2025-02-26T10:55:46Z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E0603249A41E4FB3B43CCB0F2B2B451A_11</vt:lpwstr>
  </property>
  <property fmtid="{D5CDD505-2E9C-101B-9397-08002B2CF9AE}" pid="3" name="KSOProductBuildVer">
    <vt:lpwstr>3082-12.2.0.19805</vt:lpwstr>
  </property>
</Properties>
</file>